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3128D">
      <w:pPr>
        <w:widowControl/>
        <w:snapToGrid w:val="0"/>
        <w:spacing w:line="360" w:lineRule="auto"/>
        <w:jc w:val="left"/>
        <w:rPr>
          <w:rFonts w:ascii="仿宋" w:hAnsi="仿宋" w:eastAsia="仿宋"/>
          <w:b/>
          <w:bCs/>
          <w:kern w:val="44"/>
          <w:sz w:val="30"/>
          <w:szCs w:val="30"/>
          <w:highlight w:val="none"/>
        </w:rPr>
      </w:pPr>
      <w:r>
        <w:rPr>
          <w:rFonts w:hint="eastAsia" w:ascii="仿宋" w:hAnsi="仿宋" w:eastAsia="仿宋"/>
          <w:b/>
          <w:bCs/>
          <w:kern w:val="44"/>
          <w:sz w:val="30"/>
          <w:szCs w:val="30"/>
          <w:highlight w:val="none"/>
        </w:rPr>
        <w:t>附件1：</w:t>
      </w:r>
    </w:p>
    <w:p w14:paraId="1BDA0305">
      <w:pPr>
        <w:widowControl/>
        <w:snapToGrid w:val="0"/>
        <w:spacing w:line="360" w:lineRule="auto"/>
        <w:jc w:val="center"/>
        <w:rPr>
          <w:rFonts w:hint="eastAsia" w:ascii="黑体" w:hAnsi="黑体" w:eastAsia="黑体"/>
          <w:b/>
          <w:bCs/>
          <w:kern w:val="0"/>
          <w:sz w:val="10"/>
          <w:szCs w:val="10"/>
        </w:rPr>
      </w:pPr>
    </w:p>
    <w:p w14:paraId="47DD415D">
      <w:pPr>
        <w:widowControl/>
        <w:snapToGrid w:val="0"/>
        <w:spacing w:line="360" w:lineRule="auto"/>
        <w:jc w:val="center"/>
        <w:rPr>
          <w:rFonts w:ascii="黑体" w:hAnsi="黑体" w:eastAsia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kern w:val="0"/>
          <w:sz w:val="32"/>
          <w:szCs w:val="32"/>
        </w:rPr>
        <w:t>上海证券交易所202</w:t>
      </w:r>
      <w:r>
        <w:rPr>
          <w:rFonts w:hint="eastAsia" w:ascii="黑体" w:hAnsi="黑体" w:eastAsia="黑体"/>
          <w:b w:val="0"/>
          <w:bCs w:val="0"/>
          <w:kern w:val="0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b w:val="0"/>
          <w:bCs w:val="0"/>
          <w:kern w:val="0"/>
          <w:sz w:val="32"/>
          <w:szCs w:val="32"/>
        </w:rPr>
        <w:t>年第</w:t>
      </w:r>
      <w:r>
        <w:rPr>
          <w:rFonts w:hint="eastAsia" w:ascii="黑体" w:hAnsi="黑体" w:eastAsia="黑体"/>
          <w:b w:val="0"/>
          <w:bCs w:val="0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/>
          <w:b w:val="0"/>
          <w:bCs w:val="0"/>
          <w:kern w:val="0"/>
          <w:sz w:val="32"/>
          <w:szCs w:val="32"/>
        </w:rPr>
        <w:t>期上市公司董事会秘书</w:t>
      </w:r>
    </w:p>
    <w:p w14:paraId="76E185C4">
      <w:pPr>
        <w:widowControl/>
        <w:snapToGrid w:val="0"/>
        <w:spacing w:line="360" w:lineRule="auto"/>
        <w:jc w:val="center"/>
        <w:rPr>
          <w:rFonts w:hint="eastAsia" w:ascii="黑体" w:hAnsi="黑体" w:eastAsia="黑体"/>
          <w:b/>
          <w:bCs/>
          <w:kern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kern w:val="0"/>
          <w:sz w:val="32"/>
          <w:szCs w:val="32"/>
        </w:rPr>
        <w:t>后续培训</w:t>
      </w:r>
      <w:r>
        <w:rPr>
          <w:rFonts w:hint="eastAsia" w:ascii="黑体" w:hAnsi="黑体" w:eastAsia="黑体"/>
          <w:b/>
          <w:bCs/>
          <w:kern w:val="0"/>
          <w:sz w:val="32"/>
          <w:szCs w:val="32"/>
        </w:rPr>
        <w:t>（</w:t>
      </w:r>
      <w:r>
        <w:rPr>
          <w:rFonts w:hint="eastAsia" w:ascii="黑体" w:hAnsi="黑体" w:eastAsia="黑体"/>
          <w:b/>
          <w:bCs/>
          <w:kern w:val="0"/>
          <w:sz w:val="32"/>
          <w:szCs w:val="32"/>
          <w:lang w:eastAsia="zh-CN"/>
        </w:rPr>
        <w:t>有色金属、生物医药和社会服务行业专</w:t>
      </w:r>
      <w:r>
        <w:rPr>
          <w:rFonts w:hint="eastAsia" w:ascii="黑体" w:hAnsi="黑体" w:eastAsia="黑体"/>
          <w:b/>
          <w:bCs/>
          <w:kern w:val="0"/>
          <w:sz w:val="32"/>
          <w:szCs w:val="32"/>
        </w:rPr>
        <w:t>场）</w:t>
      </w:r>
    </w:p>
    <w:p w14:paraId="5696FB59">
      <w:pPr>
        <w:widowControl/>
        <w:snapToGrid w:val="0"/>
        <w:spacing w:line="360" w:lineRule="auto"/>
        <w:jc w:val="center"/>
        <w:rPr>
          <w:rFonts w:ascii="黑体" w:hAnsi="黑体" w:eastAsia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/>
          <w:b w:val="0"/>
          <w:bCs w:val="0"/>
          <w:kern w:val="0"/>
          <w:sz w:val="32"/>
          <w:szCs w:val="32"/>
        </w:rPr>
        <w:t>课程安排</w:t>
      </w:r>
    </w:p>
    <w:p w14:paraId="6794382F">
      <w:pPr>
        <w:adjustRightInd w:val="0"/>
        <w:snapToGrid w:val="0"/>
        <w:spacing w:line="360" w:lineRule="auto"/>
        <w:rPr>
          <w:rFonts w:hint="eastAsia" w:ascii="仿宋_GB2312" w:hAnsi="Times New Roman" w:eastAsia="楷体" w:cs="Times New Roman"/>
          <w:b/>
          <w:bCs w:val="0"/>
          <w:color w:val="000000"/>
          <w:sz w:val="24"/>
          <w:szCs w:val="28"/>
          <w:lang w:eastAsia="zh-CN"/>
        </w:rPr>
      </w:pPr>
      <w:r>
        <w:rPr>
          <w:rFonts w:hint="eastAsia" w:ascii="仿宋_GB2312" w:hAnsi="Times New Roman" w:eastAsia="仿宋_GB2312" w:cs="Times New Roman"/>
          <w:b/>
          <w:color w:val="000000"/>
          <w:sz w:val="24"/>
          <w:szCs w:val="28"/>
        </w:rPr>
        <w:t>时间：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</w:rPr>
        <w:t>202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  <w:lang w:val="en-US" w:eastAsia="zh-CN"/>
        </w:rPr>
        <w:t>6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</w:rPr>
        <w:t>年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  <w:lang w:val="en-US" w:eastAsia="zh-CN"/>
        </w:rPr>
        <w:t>9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</w:rPr>
        <w:t>月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  <w:lang w:val="en-US" w:eastAsia="zh-CN"/>
        </w:rPr>
        <w:t>9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</w:rPr>
        <w:t>日-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  <w:lang w:val="en-US" w:eastAsia="zh-CN"/>
        </w:rPr>
        <w:t>9月10</w:t>
      </w:r>
      <w:r>
        <w:rPr>
          <w:rFonts w:hint="eastAsia" w:ascii="楷体" w:hAnsi="楷体" w:eastAsia="楷体" w:cs="楷体"/>
          <w:b/>
          <w:bCs w:val="0"/>
          <w:color w:val="000000"/>
          <w:sz w:val="24"/>
          <w:szCs w:val="28"/>
        </w:rPr>
        <w:t>日</w:t>
      </w:r>
    </w:p>
    <w:p w14:paraId="496076FC">
      <w:pPr>
        <w:rPr>
          <w:rFonts w:hint="eastAsia" w:ascii="楷体" w:hAnsi="楷体" w:eastAsia="仿宋_GB2312" w:cs="宋体"/>
          <w:b/>
          <w:bCs/>
          <w:sz w:val="24"/>
          <w:highlight w:val="none"/>
          <w:lang w:eastAsia="zh-CN"/>
        </w:rPr>
      </w:pPr>
      <w:r>
        <w:rPr>
          <w:rFonts w:hint="eastAsia" w:ascii="仿宋_GB2312" w:hAnsi="Times New Roman" w:eastAsia="仿宋_GB2312" w:cs="Times New Roman"/>
          <w:b/>
          <w:bCs w:val="0"/>
          <w:color w:val="000000"/>
          <w:w w:val="95"/>
          <w:sz w:val="24"/>
          <w:szCs w:val="28"/>
          <w:highlight w:val="none"/>
        </w:rPr>
        <w:t>地点</w:t>
      </w:r>
      <w:r>
        <w:rPr>
          <w:rFonts w:hint="eastAsia" w:ascii="仿宋_GB2312" w:hAnsi="Times New Roman" w:eastAsia="仿宋_GB2312" w:cs="Times New Roman"/>
          <w:b/>
          <w:bCs w:val="0"/>
          <w:color w:val="000000"/>
          <w:w w:val="95"/>
          <w:sz w:val="24"/>
          <w:szCs w:val="28"/>
          <w:highlight w:val="none"/>
          <w:lang w:eastAsia="zh-CN"/>
        </w:rPr>
        <w:t>：</w:t>
      </w:r>
      <w:r>
        <w:rPr>
          <w:rFonts w:hint="eastAsia" w:ascii="仿宋_GB2312" w:hAnsi="Times New Roman" w:eastAsia="仿宋_GB2312" w:cs="Times New Roman"/>
          <w:b w:val="0"/>
          <w:bCs/>
          <w:color w:val="000000"/>
          <w:w w:val="95"/>
          <w:sz w:val="24"/>
          <w:szCs w:val="24"/>
          <w:lang w:eastAsia="zh-CN"/>
        </w:rPr>
        <w:t>昆明佳华广场</w:t>
      </w:r>
      <w:r>
        <w:rPr>
          <w:rFonts w:hint="eastAsia" w:ascii="仿宋_GB2312" w:hAnsi="微软雅黑" w:eastAsia="仿宋_GB2312"/>
          <w:b w:val="0"/>
          <w:bCs w:val="0"/>
          <w:color w:val="000000"/>
          <w:sz w:val="24"/>
          <w:szCs w:val="24"/>
          <w:shd w:val="clear" w:color="auto" w:fill="auto"/>
          <w:lang w:val="en-US" w:eastAsia="zh-CN"/>
        </w:rPr>
        <w:t>酒店一楼国际宴会厅（云南昆明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w w:val="95"/>
          <w:sz w:val="24"/>
          <w:szCs w:val="24"/>
          <w:shd w:val="clear" w:color="auto" w:fill="auto"/>
          <w:lang w:eastAsia="zh-CN"/>
        </w:rPr>
        <w:t>市北京路</w:t>
      </w:r>
      <w:r>
        <w:rPr>
          <w:rFonts w:hint="eastAsia" w:ascii="仿宋_GB2312" w:hAnsi="Times New Roman" w:eastAsia="仿宋_GB2312" w:cs="Times New Roman"/>
          <w:b w:val="0"/>
          <w:bCs w:val="0"/>
          <w:color w:val="000000"/>
          <w:w w:val="95"/>
          <w:sz w:val="24"/>
          <w:szCs w:val="24"/>
          <w:shd w:val="clear" w:color="auto" w:fill="auto"/>
          <w:lang w:val="en-US" w:eastAsia="zh-CN"/>
        </w:rPr>
        <w:t>157号</w:t>
      </w:r>
      <w:r>
        <w:rPr>
          <w:rFonts w:hint="eastAsia" w:ascii="仿宋_GB2312" w:hAnsi="微软雅黑" w:eastAsia="仿宋_GB2312"/>
          <w:b w:val="0"/>
          <w:bCs w:val="0"/>
          <w:color w:val="000000"/>
          <w:sz w:val="24"/>
          <w:szCs w:val="24"/>
          <w:shd w:val="clear" w:color="auto" w:fill="auto"/>
          <w:lang w:val="en-US" w:eastAsia="zh-CN"/>
        </w:rPr>
        <w:t>）</w:t>
      </w:r>
    </w:p>
    <w:tbl>
      <w:tblPr>
        <w:tblStyle w:val="5"/>
        <w:tblW w:w="8655" w:type="dxa"/>
        <w:jc w:val="center"/>
        <w:tblBorders>
          <w:top w:val="single" w:color="auto" w:sz="18" w:space="0"/>
          <w:left w:val="none" w:color="auto" w:sz="0" w:space="0"/>
          <w:bottom w:val="single" w:color="auto" w:sz="18" w:space="0"/>
          <w:right w:val="none" w:color="auto" w:sz="0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1"/>
        <w:gridCol w:w="1650"/>
        <w:gridCol w:w="5444"/>
      </w:tblGrid>
      <w:tr w14:paraId="0042DD34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321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4F81BD"/>
            <w:noWrap w:val="0"/>
            <w:vAlign w:val="top"/>
          </w:tcPr>
          <w:p w14:paraId="0F01DAC8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</w:rPr>
              <w:t>培训日程</w:t>
            </w:r>
          </w:p>
        </w:tc>
        <w:tc>
          <w:tcPr>
            <w:tcW w:w="544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4F81BD"/>
            <w:noWrap w:val="0"/>
            <w:vAlign w:val="top"/>
          </w:tcPr>
          <w:p w14:paraId="60828C86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8"/>
                <w:szCs w:val="28"/>
              </w:rPr>
              <w:t>课程安排</w:t>
            </w:r>
          </w:p>
        </w:tc>
      </w:tr>
      <w:tr w14:paraId="3520733F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1561" w:type="dxa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2CAE43DE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日</w:t>
            </w:r>
          </w:p>
          <w:p w14:paraId="3C101538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（周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eastAsia="zh-CN"/>
              </w:rPr>
              <w:t>二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4909E">
            <w:pPr>
              <w:ind w:firstLine="240" w:firstLineChars="10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:00-20:00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6A062">
            <w:pPr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签到（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酒店二楼大堂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）</w:t>
            </w:r>
          </w:p>
        </w:tc>
      </w:tr>
      <w:tr w14:paraId="3A6ECD3C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22DF1E62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日</w:t>
            </w:r>
          </w:p>
          <w:p w14:paraId="527AAD58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（周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709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26824808">
            <w:pPr>
              <w:jc w:val="center"/>
              <w:rPr>
                <w:rFonts w:hint="default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上  午</w:t>
            </w:r>
          </w:p>
        </w:tc>
      </w:tr>
      <w:tr w14:paraId="4D0B6A1A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01F4140A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F237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:00-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CA1994">
            <w:pP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签到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（酒店一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楼</w:t>
            </w:r>
            <w:r>
              <w:rPr>
                <w:rFonts w:hint="eastAsia" w:ascii="仿宋_GB2312" w:hAnsi="微软雅黑" w:eastAsia="仿宋_GB2312"/>
                <w:b w:val="0"/>
                <w:bCs w:val="0"/>
                <w:color w:val="000000"/>
                <w:sz w:val="24"/>
                <w:szCs w:val="24"/>
                <w:shd w:val="clear" w:color="auto" w:fill="auto"/>
                <w:lang w:val="en-US" w:eastAsia="zh-CN"/>
              </w:rPr>
              <w:t>国际宴会厅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eastAsia="zh-CN"/>
              </w:rPr>
              <w:t>）</w:t>
            </w:r>
          </w:p>
        </w:tc>
      </w:tr>
      <w:tr w14:paraId="39666B3C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23C80CCB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E032D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-09: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1C3FD7">
            <w:pP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开班</w:t>
            </w:r>
          </w:p>
        </w:tc>
      </w:tr>
      <w:tr w14:paraId="102EC270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2EE76DBA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D8EA25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9: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0-10: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C1F7B">
            <w:pPr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近期上市公司监管政策及监管要点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 xml:space="preserve">         </w:t>
            </w:r>
          </w:p>
        </w:tc>
      </w:tr>
      <w:tr w14:paraId="0E0E42F6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630DAE1A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207F3F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10: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E3E31F">
            <w:pPr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" w:eastAsia="仿宋_GB2312" w:cs="Times New Roman"/>
                <w:b w:val="0"/>
                <w:bCs w:val="0"/>
                <w:kern w:val="0"/>
                <w:sz w:val="24"/>
                <w:szCs w:val="24"/>
                <w:lang w:eastAsia="zh-CN"/>
              </w:rPr>
              <w:t>有色金属行业发展趋势及热点</w:t>
            </w:r>
          </w:p>
        </w:tc>
      </w:tr>
      <w:tr w14:paraId="471F868A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5CEA0AEC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4F6254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B180B">
            <w:pPr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午餐及午休</w:t>
            </w:r>
          </w:p>
        </w:tc>
      </w:tr>
      <w:tr w14:paraId="6E7DD297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7CE2B433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709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3F781176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下  午</w:t>
            </w:r>
          </w:p>
        </w:tc>
      </w:tr>
      <w:tr w14:paraId="54BBEE1B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2C56938A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04C74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DC67D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bCs/>
                <w:color w:val="212529"/>
                <w:kern w:val="0"/>
                <w:sz w:val="24"/>
                <w:szCs w:val="20"/>
              </w:rPr>
              <w:t>上市公司提质增效重回报及规范运作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0"/>
                <w:highlight w:val="none"/>
                <w:lang w:val="en-US" w:eastAsia="zh-CN"/>
              </w:rPr>
              <w:t xml:space="preserve">   </w:t>
            </w:r>
          </w:p>
        </w:tc>
      </w:tr>
      <w:tr w14:paraId="4882854F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65C3A56E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74721">
            <w:pPr>
              <w:jc w:val="center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15:10-16:10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9187FD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上市公司纪律处分案例解析</w:t>
            </w:r>
          </w:p>
        </w:tc>
      </w:tr>
      <w:tr w14:paraId="1763CCA9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restart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6F214F4E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日</w:t>
            </w:r>
          </w:p>
          <w:p w14:paraId="320E30B1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（周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  <w:lang w:eastAsia="zh-CN"/>
              </w:rPr>
              <w:t>四</w:t>
            </w: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）</w:t>
            </w:r>
          </w:p>
        </w:tc>
        <w:tc>
          <w:tcPr>
            <w:tcW w:w="7094" w:type="dxa"/>
            <w:gridSpan w:val="2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31220543">
            <w:pPr>
              <w:jc w:val="center"/>
              <w:rPr>
                <w:rFonts w:ascii="仿宋_GB2312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kern w:val="0"/>
                <w:sz w:val="24"/>
                <w:szCs w:val="24"/>
              </w:rPr>
              <w:t>上  午</w:t>
            </w:r>
          </w:p>
        </w:tc>
      </w:tr>
      <w:tr w14:paraId="4F46A7AF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6ECB9DA8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D9505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-10: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15</w:t>
            </w:r>
          </w:p>
        </w:tc>
        <w:tc>
          <w:tcPr>
            <w:tcW w:w="5444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72CF3">
            <w:pPr>
              <w:jc w:val="left"/>
              <w:rPr>
                <w:rFonts w:hint="default" w:ascii="Times New Roman" w:hAnsi="Times New Roman" w:eastAsia="仿宋_GB2312" w:cs="Times New Roman"/>
                <w:bCs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="仿宋_GB2312" w:hAnsi="微软雅黑" w:eastAsia="仿宋_GB2312" w:cs="宋体"/>
                <w:bCs/>
                <w:color w:val="212529"/>
                <w:kern w:val="0"/>
                <w:sz w:val="24"/>
                <w:szCs w:val="20"/>
              </w:rPr>
              <w:t>上市公司财务舞弊防范与董秘履职</w:t>
            </w:r>
            <w:r>
              <w:rPr>
                <w:rFonts w:hint="eastAsia" w:ascii="仿宋_GB2312" w:hAnsi="微软雅黑" w:eastAsia="仿宋_GB2312" w:cs="宋体"/>
                <w:bCs/>
                <w:color w:val="212529"/>
                <w:kern w:val="0"/>
                <w:sz w:val="24"/>
                <w:szCs w:val="20"/>
                <w:lang w:val="en-US" w:eastAsia="zh-CN"/>
              </w:rPr>
              <w:t xml:space="preserve">                 </w:t>
            </w:r>
          </w:p>
        </w:tc>
      </w:tr>
      <w:tr w14:paraId="722964CB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02D572A9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BED08BF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1:25</w:t>
            </w:r>
          </w:p>
        </w:tc>
        <w:tc>
          <w:tcPr>
            <w:tcW w:w="5444" w:type="dxa"/>
            <w:tcBorders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303D2E7">
            <w:pPr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highlight w:val="none"/>
                <w:lang w:val="en-US" w:eastAsia="zh-CN"/>
              </w:rPr>
              <w:t>《股票上市规则》及其配套制度最新修订要点解读</w:t>
            </w:r>
            <w:r>
              <w:rPr>
                <w:rFonts w:hint="eastAsia" w:ascii="仿宋_GB2312" w:hAnsi="仿宋" w:eastAsia="仿宋_GB2312" w:cs="宋体"/>
                <w:kern w:val="0"/>
                <w:sz w:val="24"/>
                <w:szCs w:val="20"/>
                <w:highlight w:val="none"/>
                <w:lang w:val="en-US" w:eastAsia="zh-CN"/>
              </w:rPr>
              <w:t xml:space="preserve">    </w:t>
            </w:r>
          </w:p>
        </w:tc>
      </w:tr>
      <w:tr w14:paraId="24C4E4C8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629A94DE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5E3F8067">
            <w:pPr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5444" w:type="dxa"/>
            <w:tcBorders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70EE267F">
            <w:pPr>
              <w:jc w:val="left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午餐及午休</w:t>
            </w:r>
          </w:p>
        </w:tc>
      </w:tr>
      <w:tr w14:paraId="2EA6C07B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31D796EF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709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B8CCE4"/>
            <w:noWrap w:val="0"/>
            <w:vAlign w:val="center"/>
          </w:tcPr>
          <w:p w14:paraId="0556E9C1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kern w:val="0"/>
                <w:sz w:val="24"/>
                <w:szCs w:val="24"/>
              </w:rPr>
              <w:t>下  午</w:t>
            </w:r>
          </w:p>
        </w:tc>
      </w:tr>
      <w:tr w14:paraId="2EF38A32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58C88B82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D3A86FD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0-1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544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3E71B5DA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  <w:t>上交所债券及多层次REITs市场政策解析</w:t>
            </w:r>
          </w:p>
        </w:tc>
      </w:tr>
      <w:tr w14:paraId="70064FE4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2FC10E45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37552B8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14:40-15:40</w:t>
            </w:r>
          </w:p>
        </w:tc>
        <w:tc>
          <w:tcPr>
            <w:tcW w:w="5444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77CF033B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highlight w:val="none"/>
                <w:lang w:val="en-US" w:eastAsia="zh-CN" w:bidi="ar-SA"/>
              </w:rPr>
              <w:t>生物医药行业发展趋势及热点</w:t>
            </w:r>
          </w:p>
        </w:tc>
      </w:tr>
      <w:tr w14:paraId="6BB7648C">
        <w:tblPrEx>
          <w:tblBorders>
            <w:top w:val="single" w:color="auto" w:sz="18" w:space="0"/>
            <w:left w:val="none" w:color="auto" w:sz="0" w:space="0"/>
            <w:bottom w:val="single" w:color="auto" w:sz="18" w:space="0"/>
            <w:right w:val="none" w:color="auto" w:sz="0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5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8CCE4"/>
            <w:noWrap w:val="0"/>
            <w:vAlign w:val="top"/>
          </w:tcPr>
          <w:p w14:paraId="1ABE0E61">
            <w:pPr>
              <w:jc w:val="center"/>
              <w:rPr>
                <w:rFonts w:ascii="Times New Roman" w:hAnsi="Times New Roman" w:eastAsia="仿宋_GB2312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751BBB5">
            <w:pPr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-1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: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5444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0B2EAE7">
            <w:pPr>
              <w:jc w:val="left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上市公司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 w:bidi="ar-SA"/>
              </w:rPr>
              <w:t>董秘经验分享</w:t>
            </w:r>
          </w:p>
        </w:tc>
      </w:tr>
    </w:tbl>
    <w:p w14:paraId="07377F4F">
      <w:pPr>
        <w:spacing w:beforeLines="50"/>
        <w:jc w:val="left"/>
      </w:pPr>
      <w:r>
        <w:rPr>
          <w:rFonts w:hint="eastAsia" w:ascii="Times New Roman" w:hAnsi="Times New Roman" w:eastAsia="仿宋_GB2312" w:cs="Times New Roman"/>
          <w:b/>
          <w:sz w:val="24"/>
          <w:szCs w:val="24"/>
        </w:rPr>
        <w:t>注：以培训期间实际安排为准</w:t>
      </w:r>
      <w:r>
        <w:rPr>
          <w:rFonts w:hint="eastAsia" w:ascii="Times New Roman" w:hAnsi="Times New Roman" w:eastAsia="仿宋_GB2312" w:cs="Times New Roman"/>
          <w:b/>
          <w:sz w:val="24"/>
          <w:szCs w:val="24"/>
          <w:lang w:eastAsia="zh-CN"/>
        </w:rPr>
        <w:t>。</w:t>
      </w:r>
    </w:p>
    <w:p w14:paraId="47E18153">
      <w:pPr>
        <w:widowControl/>
        <w:snapToGrid w:val="0"/>
        <w:spacing w:line="440" w:lineRule="exact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</w:p>
    <w:p w14:paraId="7862B9ED">
      <w:pPr>
        <w:widowControl/>
        <w:snapToGrid w:val="0"/>
        <w:spacing w:line="440" w:lineRule="exact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</w:p>
    <w:p w14:paraId="209D587F">
      <w:pPr>
        <w:spacing w:beforeLines="50"/>
        <w:jc w:val="left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00500000000000000"/>
    <w:charset w:val="86"/>
    <w:family w:val="modern"/>
    <w:pitch w:val="default"/>
    <w:sig w:usb0="A00002BF" w:usb1="584F6CFA" w:usb2="00000012" w:usb3="00000000" w:csb0="00040001" w:csb1="00000000"/>
  </w:font>
  <w:font w:name="楷体">
    <w:altName w:val="方正楷体_GBK"/>
    <w:panose1 w:val="02010609060101010101"/>
    <w:charset w:val="00"/>
    <w:family w:val="auto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黑体"/>
    <w:panose1 w:val="020B0503020204020204"/>
    <w:charset w:val="00"/>
    <w:family w:val="swiss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0A5"/>
    <w:rsid w:val="000F03E7"/>
    <w:rsid w:val="00217952"/>
    <w:rsid w:val="003513A4"/>
    <w:rsid w:val="00460076"/>
    <w:rsid w:val="004A4647"/>
    <w:rsid w:val="004D26D2"/>
    <w:rsid w:val="005E40A5"/>
    <w:rsid w:val="00764924"/>
    <w:rsid w:val="008B48AA"/>
    <w:rsid w:val="009F3A16"/>
    <w:rsid w:val="00BE7DAD"/>
    <w:rsid w:val="00C73162"/>
    <w:rsid w:val="00EC228B"/>
    <w:rsid w:val="08EE4ADE"/>
    <w:rsid w:val="0FA368BD"/>
    <w:rsid w:val="134205A9"/>
    <w:rsid w:val="17046808"/>
    <w:rsid w:val="177F2044"/>
    <w:rsid w:val="1B336DD7"/>
    <w:rsid w:val="20DD736E"/>
    <w:rsid w:val="2AFB42C0"/>
    <w:rsid w:val="38026135"/>
    <w:rsid w:val="3819091C"/>
    <w:rsid w:val="40FC6C2A"/>
    <w:rsid w:val="4121125B"/>
    <w:rsid w:val="47F5097F"/>
    <w:rsid w:val="49EE5980"/>
    <w:rsid w:val="4C2113BB"/>
    <w:rsid w:val="4C8F278A"/>
    <w:rsid w:val="4CD5567D"/>
    <w:rsid w:val="4FA7753C"/>
    <w:rsid w:val="51EB192E"/>
    <w:rsid w:val="52B6873D"/>
    <w:rsid w:val="55DE2495"/>
    <w:rsid w:val="5A157DDF"/>
    <w:rsid w:val="5BBE907C"/>
    <w:rsid w:val="5BD91442"/>
    <w:rsid w:val="5BEF8B65"/>
    <w:rsid w:val="5D7972C1"/>
    <w:rsid w:val="5E4268CE"/>
    <w:rsid w:val="5F675C45"/>
    <w:rsid w:val="5FCF60B6"/>
    <w:rsid w:val="64641C4F"/>
    <w:rsid w:val="647B4DBA"/>
    <w:rsid w:val="655D200F"/>
    <w:rsid w:val="6E9A7D10"/>
    <w:rsid w:val="6EEE103D"/>
    <w:rsid w:val="77DF6DC6"/>
    <w:rsid w:val="7BF39A61"/>
    <w:rsid w:val="7CF451CB"/>
    <w:rsid w:val="7E982B14"/>
    <w:rsid w:val="7FAF7A36"/>
    <w:rsid w:val="7FED182A"/>
    <w:rsid w:val="BFFF93C9"/>
    <w:rsid w:val="CFF712F6"/>
    <w:rsid w:val="D7DB3EA5"/>
    <w:rsid w:val="DF7F746E"/>
    <w:rsid w:val="E3E7C7DF"/>
    <w:rsid w:val="EA727FAD"/>
    <w:rsid w:val="EF390BDB"/>
    <w:rsid w:val="F5FAAA6D"/>
    <w:rsid w:val="F6A982B4"/>
    <w:rsid w:val="FBF35CE8"/>
    <w:rsid w:val="FEE31DC5"/>
    <w:rsid w:val="FFCF6FA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basedOn w:val="6"/>
    <w:link w:val="2"/>
    <w:semiHidden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320</Words>
  <Characters>461</Characters>
  <Lines>3</Lines>
  <Paragraphs>1</Paragraphs>
  <TotalTime>0</TotalTime>
  <ScaleCrop>false</ScaleCrop>
  <LinksUpToDate>false</LinksUpToDate>
  <CharactersWithSpaces>469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2024-06-10T16:41:00Z</dcterms:created>
  <dc:creator>tek</dc:creator>
  <cp:lastModifiedBy>lwsheng</cp:lastModifiedBy>
  <cp:lastPrinted>2025-05-15T09:54:00Z</cp:lastPrinted>
  <dcterms:modified xsi:type="dcterms:W3CDTF">2026-08-18T14:40:43Z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174AB77D67D4050D181D6B6A260BFBA0_43</vt:lpwstr>
  </property>
</Properties>
</file>