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2D8BDD">
      <w:pPr>
        <w:widowControl/>
        <w:snapToGrid w:val="0"/>
        <w:spacing w:line="440" w:lineRule="exact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附件2</w:t>
      </w:r>
    </w:p>
    <w:p w14:paraId="7D51A6B6">
      <w:pPr>
        <w:widowControl/>
        <w:snapToGrid w:val="0"/>
        <w:spacing w:line="440" w:lineRule="exact"/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  <w:lang w:eastAsia="zh-CN"/>
        </w:rPr>
        <w:t>学员</w:t>
      </w:r>
      <w:r>
        <w:rPr>
          <w:rFonts w:hint="eastAsia" w:ascii="黑体" w:hAnsi="黑体" w:eastAsia="黑体"/>
          <w:b/>
          <w:bCs/>
          <w:sz w:val="36"/>
          <w:szCs w:val="36"/>
        </w:rPr>
        <w:t>在线培训操作指南</w:t>
      </w:r>
    </w:p>
    <w:p w14:paraId="15189086"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</w:p>
    <w:p w14:paraId="1F9356E7">
      <w:pPr>
        <w:widowControl/>
        <w:snapToGrid w:val="0"/>
        <w:spacing w:line="360" w:lineRule="auto"/>
        <w:ind w:firstLine="600" w:firstLineChars="200"/>
        <w:jc w:val="left"/>
        <w:rPr>
          <w:rFonts w:ascii="黑体" w:hAnsi="黑体" w:eastAsia="仿宋_GB2312"/>
          <w:sz w:val="36"/>
          <w:szCs w:val="36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特别提示：建议使用Chrome、360、火狐等浏览器，不支持苹果Safari浏览器。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完成全部课程在线学习。</w:t>
      </w:r>
    </w:p>
    <w:p w14:paraId="15BA02F5">
      <w:pPr>
        <w:wordWrap w:val="0"/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1、打开上交所浦江大讲堂网站（https://pujiang.sse.com.cn/home/）；</w:t>
      </w:r>
    </w:p>
    <w:p w14:paraId="02C21D99">
      <w:pPr>
        <w:ind w:firstLine="600" w:firstLineChars="200"/>
        <w:jc w:val="left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2、点击页面右上角“登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”按钮。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请务必使用报名时填写的手机号码进行登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。</w:t>
      </w:r>
      <w:r>
        <w:drawing>
          <wp:inline distT="0" distB="0" distL="114300" distR="114300">
            <wp:extent cx="5266690" cy="2359660"/>
            <wp:effectExtent l="0" t="0" r="1016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38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F564D">
      <w:pPr>
        <w:ind w:firstLine="420" w:firstLineChars="200"/>
        <w:jc w:val="left"/>
      </w:pPr>
    </w:p>
    <w:p w14:paraId="495AAAEF">
      <w:pPr>
        <w:numPr>
          <w:ilvl w:val="0"/>
          <w:numId w:val="1"/>
        </w:num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培训课程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-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”栏目标签，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bCs/>
          <w:color w:val="000000"/>
          <w:sz w:val="30"/>
          <w:szCs w:val="30"/>
        </w:rPr>
        <w:t>报名的当</w:t>
      </w:r>
      <w:r>
        <w:rPr>
          <w:rFonts w:ascii="仿宋_GB2312" w:hAnsi="仿宋" w:eastAsia="仿宋_GB2312" w:cs="Times New Roman"/>
          <w:b/>
          <w:bCs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，进入培训主页。培训页面于培训当天上线。</w:t>
      </w:r>
    </w:p>
    <w:p w14:paraId="36F68E4F">
      <w:pPr>
        <w:numPr>
          <w:ilvl w:val="255"/>
          <w:numId w:val="0"/>
        </w:numPr>
        <w:jc w:val="center"/>
      </w:pPr>
      <w:r>
        <w:drawing>
          <wp:inline distT="0" distB="0" distL="114300" distR="114300">
            <wp:extent cx="5267325" cy="1924050"/>
            <wp:effectExtent l="0" t="0" r="952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848B1">
      <w:pPr>
        <w:pStyle w:val="5"/>
        <w:wordWrap w:val="0"/>
        <w:ind w:firstLine="601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val="en-US" w:eastAsia="zh-CN"/>
        </w:rPr>
        <w:t>4、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</w:rPr>
        <w:t>请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选择“</w:t>
      </w:r>
      <w:r>
        <w:rPr>
          <w:rFonts w:hint="eastAsia" w:ascii="仿宋_GB2312" w:hAnsi="微软雅黑" w:eastAsia="仿宋_GB2312"/>
          <w:sz w:val="30"/>
          <w:szCs w:val="30"/>
        </w:rPr>
        <w:t>上市公司高质量发展系列培训--</w:t>
      </w:r>
      <w:r>
        <w:rPr>
          <w:rFonts w:hint="default" w:ascii="仿宋_GB2312" w:hAnsi="微软雅黑" w:eastAsia="仿宋_GB2312"/>
          <w:sz w:val="30"/>
          <w:szCs w:val="30"/>
        </w:rPr>
        <w:t>可持续发展(ESG)报告编制专题（第</w:t>
      </w:r>
      <w:r>
        <w:rPr>
          <w:rFonts w:hint="eastAsia" w:ascii="仿宋_GB2312" w:hAnsi="微软雅黑" w:eastAsia="仿宋_GB2312"/>
          <w:sz w:val="30"/>
          <w:szCs w:val="30"/>
          <w:lang w:eastAsia="zh-CN"/>
        </w:rPr>
        <w:t>四</w:t>
      </w:r>
      <w:bookmarkStart w:id="0" w:name="_GoBack"/>
      <w:bookmarkEnd w:id="0"/>
      <w:r>
        <w:rPr>
          <w:rFonts w:hint="default" w:ascii="仿宋_GB2312" w:hAnsi="微软雅黑" w:eastAsia="仿宋_GB2312"/>
          <w:sz w:val="30"/>
          <w:szCs w:val="30"/>
        </w:rPr>
        <w:t>期）</w:t>
      </w:r>
      <w:r>
        <w:rPr>
          <w:rFonts w:hint="eastAsia" w:ascii="仿宋_GB2312" w:hAnsi="微软雅黑" w:eastAsia="仿宋_GB2312"/>
          <w:sz w:val="30"/>
          <w:szCs w:val="30"/>
          <w:lang w:eastAsia="zh-CN"/>
        </w:rPr>
        <w:t>”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项目。</w:t>
      </w:r>
    </w:p>
    <w:p w14:paraId="4737593C">
      <w:pPr>
        <w:pStyle w:val="5"/>
        <w:wordWrap w:val="0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drawing>
          <wp:inline distT="0" distB="0" distL="114300" distR="114300">
            <wp:extent cx="5269865" cy="3284855"/>
            <wp:effectExtent l="0" t="0" r="6985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A80A6">
      <w:pPr>
        <w:numPr>
          <w:ilvl w:val="0"/>
          <w:numId w:val="0"/>
        </w:numPr>
        <w:ind w:leftChars="200" w:firstLine="300" w:firstLineChars="1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rPr>
          <w:rFonts w:hint="eastAsia" w:ascii="仿宋_GB2312" w:hAnsi="仿宋" w:eastAsia="仿宋_GB2312" w:cs="Times New Roman"/>
          <w:sz w:val="30"/>
          <w:szCs w:val="30"/>
          <w:lang w:val="en-US" w:eastAsia="zh-CN"/>
        </w:rPr>
        <w:t>5、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点击课程组目录，选择课程进行学习，目录页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/>
          <w:bCs/>
          <w:color w:val="FF0000"/>
          <w:sz w:val="30"/>
          <w:szCs w:val="30"/>
          <w:lang w:eastAsia="zh-CN"/>
        </w:rPr>
        <w:t>将实时展示。</w:t>
      </w:r>
      <w:r>
        <w:rPr>
          <w:rFonts w:hint="eastAsia" w:ascii="仿宋_GB2312" w:hAnsi="仿宋" w:eastAsia="仿宋_GB2312" w:cs="Times New Roman"/>
          <w:sz w:val="30"/>
          <w:szCs w:val="30"/>
        </w:rPr>
        <w:t>此次培训要求完成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全部课程</w:t>
      </w:r>
      <w:r>
        <w:rPr>
          <w:rFonts w:hint="eastAsia" w:ascii="仿宋_GB2312" w:hAnsi="仿宋_GB2312" w:eastAsia="仿宋_GB2312" w:cs="仿宋_GB2312"/>
          <w:sz w:val="30"/>
          <w:szCs w:val="30"/>
        </w:rPr>
        <w:t>（后台将统计学习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课</w:t>
      </w:r>
      <w:r>
        <w:rPr>
          <w:rFonts w:hint="eastAsia" w:ascii="仿宋_GB2312" w:hAnsi="仿宋_GB2312" w:eastAsia="仿宋_GB2312" w:cs="仿宋_GB2312"/>
          <w:sz w:val="30"/>
          <w:szCs w:val="30"/>
        </w:rPr>
        <w:t>时）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，即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  <w:lang w:eastAsia="zh-CN"/>
        </w:rPr>
        <w:t>需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达到100%</w:t>
      </w:r>
      <w:r>
        <w:rPr>
          <w:rFonts w:hint="eastAsia" w:ascii="仿宋_GB2312" w:hAnsi="仿宋_GB2312" w:eastAsia="仿宋_GB2312" w:cs="仿宋_GB2312"/>
          <w:b w:val="0"/>
          <w:bCs w:val="0"/>
          <w:color w:val="4D4D4D"/>
          <w:sz w:val="30"/>
          <w:szCs w:val="30"/>
        </w:rPr>
        <w:t>。</w:t>
      </w:r>
    </w:p>
    <w:p w14:paraId="5BD6AF07">
      <w:pPr>
        <w:numPr>
          <w:ilvl w:val="0"/>
          <w:numId w:val="0"/>
        </w:numPr>
        <w:ind w:leftChars="2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drawing>
          <wp:inline distT="0" distB="0" distL="114300" distR="114300">
            <wp:extent cx="5269865" cy="3409315"/>
            <wp:effectExtent l="0" t="0" r="6985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4971" b="920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AF16E">
      <w:pPr>
        <w:numPr>
          <w:ilvl w:val="0"/>
          <w:numId w:val="0"/>
        </w:numPr>
        <w:ind w:firstLine="600" w:firstLineChars="200"/>
        <w:jc w:val="left"/>
        <w:rPr>
          <w:rFonts w:ascii="仿宋_GB2312" w:hAnsi="仿宋_GB2312" w:eastAsia="仿宋_GB2312" w:cs="仿宋_GB2312"/>
          <w:color w:val="auto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auto"/>
          <w:sz w:val="30"/>
          <w:szCs w:val="30"/>
          <w:lang w:val="en-US" w:eastAsia="zh-CN"/>
        </w:rPr>
        <w:t>6、</w:t>
      </w:r>
      <w:r>
        <w:rPr>
          <w:rFonts w:hint="eastAsia" w:ascii="仿宋_GB2312" w:hAnsi="仿宋" w:eastAsia="仿宋_GB2312" w:cs="Times New Roman"/>
          <w:color w:val="auto"/>
          <w:sz w:val="30"/>
          <w:szCs w:val="30"/>
        </w:rPr>
        <w:t>学员第一次观看课程时仅可使用1倍速，全程看完（浦江大讲堂片尾完全播放结束）方可在后台系统登记课程进度时被记录为课程完成。其他倍速的设置仅用于学员回放和复习。</w:t>
      </w:r>
    </w:p>
    <w:p w14:paraId="495E0786">
      <w:pPr>
        <w:ind w:firstLine="600" w:firstLineChars="200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7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、网站技术问题请拨打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技术支持电话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: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4008888400并按语音提示依次按键“3”和“8”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 xml:space="preserve"> 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00500000000000000"/>
    <w:charset w:val="86"/>
    <w:family w:val="auto"/>
    <w:pitch w:val="default"/>
    <w:sig w:usb0="A00002BF" w:usb1="584F6CFA" w:usb2="00000012" w:usb3="00000000" w:csb0="00040001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469228"/>
    <w:multiLevelType w:val="singleLevel"/>
    <w:tmpl w:val="6346922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E533A5"/>
    <w:rsid w:val="04EFF931"/>
    <w:rsid w:val="08AA7D21"/>
    <w:rsid w:val="0BE533A5"/>
    <w:rsid w:val="0D0F3224"/>
    <w:rsid w:val="11FF051B"/>
    <w:rsid w:val="18BF025D"/>
    <w:rsid w:val="1FD21BBA"/>
    <w:rsid w:val="2A31472A"/>
    <w:rsid w:val="2CC46383"/>
    <w:rsid w:val="2E1078B5"/>
    <w:rsid w:val="5C4E305C"/>
    <w:rsid w:val="68A02436"/>
    <w:rsid w:val="6B9514D3"/>
    <w:rsid w:val="709F03BF"/>
    <w:rsid w:val="D2DEC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正文1"/>
    <w:qFormat/>
    <w:uiPriority w:val="0"/>
    <w:pPr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2024-07-19T01:04:00Z</dcterms:created>
  <dc:creator>wzhou</dc:creator>
  <cp:lastModifiedBy>lwsheng</cp:lastModifiedBy>
  <dcterms:modified xsi:type="dcterms:W3CDTF">2026-03-02T09:40:37Z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2052-12.8.2.20327</vt:lpwstr>
  </property>
  <property fmtid="{D5CDD505-2E9C-101B-9397-08002B2CF9AE}" pid="3" name="ICV">
    <vt:lpwstr>3263A21E946A42AD95CCCC1D562D94D4_11</vt:lpwstr>
  </property>
</Properties>
</file>