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E4F0BF">
      <w:pPr>
        <w:widowControl/>
        <w:snapToGrid w:val="0"/>
        <w:spacing w:line="500" w:lineRule="exact"/>
        <w:jc w:val="left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Times New Roman" w:hAnsi="Times New Roman" w:eastAsia="黑体"/>
          <w:bCs/>
          <w:kern w:val="44"/>
          <w:sz w:val="30"/>
          <w:szCs w:val="30"/>
        </w:rPr>
        <w:t>附件1：</w:t>
      </w:r>
    </w:p>
    <w:p w14:paraId="34EFB2D4">
      <w:pPr>
        <w:jc w:val="center"/>
        <w:rPr>
          <w:rFonts w:hint="eastAsia" w:ascii="仿宋_GB2312" w:hAnsi="仿宋_GB2312" w:eastAsia="仿宋_GB2312" w:cs="仿宋_GB2312"/>
          <w:b/>
          <w:bCs w:val="0"/>
          <w:kern w:val="0"/>
          <w:sz w:val="30"/>
          <w:szCs w:val="30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bCs w:val="0"/>
          <w:kern w:val="0"/>
          <w:sz w:val="30"/>
          <w:szCs w:val="30"/>
          <w:lang w:val="en-US" w:eastAsia="zh-CN"/>
        </w:rPr>
        <w:t>践行三投资理念，促进高质量发展</w:t>
      </w:r>
    </w:p>
    <w:p w14:paraId="498F2AA4">
      <w:pPr>
        <w:jc w:val="center"/>
        <w:rPr>
          <w:rFonts w:hint="eastAsia" w:ascii="仿宋_GB2312" w:hAnsi="仿宋_GB2312" w:eastAsia="仿宋_GB2312" w:cs="仿宋_GB2312"/>
          <w:b/>
          <w:bCs w:val="0"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 w:val="0"/>
          <w:kern w:val="0"/>
          <w:sz w:val="30"/>
          <w:szCs w:val="30"/>
          <w:lang w:val="en-US" w:eastAsia="zh-CN"/>
        </w:rPr>
        <w:t>上海证券交易所机构投资者服务宁夏行（银川站）培训</w:t>
      </w:r>
      <w:r>
        <w:rPr>
          <w:rFonts w:hint="eastAsia" w:ascii="仿宋_GB2312" w:hAnsi="仿宋_GB2312" w:eastAsia="仿宋_GB2312" w:cs="仿宋_GB2312"/>
          <w:b/>
          <w:bCs w:val="0"/>
          <w:kern w:val="0"/>
          <w:sz w:val="30"/>
          <w:szCs w:val="30"/>
        </w:rPr>
        <w:t>课程表</w:t>
      </w:r>
    </w:p>
    <w:bookmarkEnd w:id="0"/>
    <w:p w14:paraId="71E69235">
      <w:pPr>
        <w:jc w:val="left"/>
        <w:rPr>
          <w:rFonts w:hint="eastAsia" w:ascii="Times New Roman" w:hAnsi="Times New Roman" w:eastAsia="楷体" w:cs="宋体"/>
          <w:b/>
          <w:bCs/>
          <w:sz w:val="24"/>
        </w:rPr>
      </w:pPr>
    </w:p>
    <w:p w14:paraId="45F70111">
      <w:pPr>
        <w:jc w:val="left"/>
        <w:rPr>
          <w:rFonts w:hint="eastAsia" w:ascii="Times New Roman" w:hAnsi="Times New Roman" w:eastAsia="楷体" w:cs="宋体"/>
          <w:b w:val="0"/>
          <w:bCs w:val="0"/>
          <w:sz w:val="22"/>
          <w:szCs w:val="21"/>
        </w:rPr>
      </w:pPr>
      <w:r>
        <w:rPr>
          <w:rFonts w:hint="eastAsia" w:ascii="Times New Roman" w:hAnsi="Times New Roman" w:eastAsia="楷体" w:cs="宋体"/>
          <w:b/>
          <w:bCs/>
          <w:sz w:val="24"/>
        </w:rPr>
        <w:t>培训地点：</w:t>
      </w:r>
      <w:r>
        <w:rPr>
          <w:rFonts w:hint="eastAsia" w:ascii="Times New Roman" w:hAnsi="Times New Roman" w:eastAsia="楷体" w:cs="宋体"/>
          <w:b/>
          <w:bCs/>
          <w:sz w:val="24"/>
          <w:lang w:val="en-US" w:eastAsia="zh-CN"/>
        </w:rPr>
        <w:t>银川喜来登酒店二楼贺兰山厅（银川市金凤区后海路155号)</w:t>
      </w:r>
    </w:p>
    <w:tbl>
      <w:tblPr>
        <w:tblStyle w:val="6"/>
        <w:tblpPr w:leftFromText="180" w:rightFromText="180" w:vertAnchor="text" w:horzAnchor="page" w:tblpX="1450" w:tblpY="109"/>
        <w:tblOverlap w:val="never"/>
        <w:tblW w:w="5488" w:type="pct"/>
        <w:tblInd w:w="0" w:type="dxa"/>
        <w:tblBorders>
          <w:top w:val="single" w:color="9CC2E5" w:sz="4" w:space="0"/>
          <w:left w:val="single" w:color="9CC2E5" w:sz="4" w:space="0"/>
          <w:bottom w:val="single" w:color="9CC2E5" w:sz="4" w:space="0"/>
          <w:right w:val="single" w:color="9CC2E5" w:sz="4" w:space="0"/>
          <w:insideH w:val="single" w:color="9CC2E5" w:sz="4" w:space="0"/>
          <w:insideV w:val="single" w:color="9CC2E5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7"/>
        <w:gridCol w:w="1510"/>
        <w:gridCol w:w="4725"/>
        <w:gridCol w:w="1722"/>
      </w:tblGrid>
      <w:tr w14:paraId="09D26732">
        <w:tblPrEx>
          <w:tblBorders>
            <w:top w:val="single" w:color="9CC2E5" w:sz="4" w:space="0"/>
            <w:left w:val="single" w:color="9CC2E5" w:sz="4" w:space="0"/>
            <w:bottom w:val="single" w:color="9CC2E5" w:sz="4" w:space="0"/>
            <w:right w:val="single" w:color="9CC2E5" w:sz="4" w:space="0"/>
            <w:insideH w:val="single" w:color="9CC2E5" w:sz="4" w:space="0"/>
            <w:insideV w:val="single" w:color="9CC2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53" w:type="pct"/>
            <w:gridSpan w:val="2"/>
            <w:tcBorders>
              <w:top w:val="single" w:color="4F81BD" w:sz="8" w:space="0"/>
              <w:left w:val="single" w:color="4F81BD" w:sz="8" w:space="0"/>
              <w:bottom w:val="single" w:color="FFFFFF" w:sz="18" w:space="0"/>
              <w:right w:val="nil"/>
            </w:tcBorders>
            <w:shd w:val="clear" w:color="auto" w:fill="4F81BD"/>
          </w:tcPr>
          <w:p w14:paraId="243F9529">
            <w:pPr>
              <w:jc w:val="center"/>
              <w:rPr>
                <w:rFonts w:ascii="Times New Roman" w:hAnsi="Times New Roman" w:eastAsia="仿宋_GB2312"/>
                <w:b/>
                <w:color w:val="FFFFFF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FFFFFF"/>
                <w:kern w:val="0"/>
                <w:sz w:val="28"/>
                <w:szCs w:val="28"/>
              </w:rPr>
              <w:t>培训日程</w:t>
            </w:r>
          </w:p>
        </w:tc>
        <w:tc>
          <w:tcPr>
            <w:tcW w:w="2525" w:type="pct"/>
            <w:tcBorders>
              <w:top w:val="single" w:color="4F81BD" w:sz="8" w:space="0"/>
              <w:left w:val="single" w:color="4F81BD" w:sz="8" w:space="0"/>
              <w:bottom w:val="single" w:color="FFFFFF" w:sz="18" w:space="0"/>
              <w:right w:val="nil"/>
            </w:tcBorders>
            <w:shd w:val="clear" w:color="auto" w:fill="4F81BD"/>
          </w:tcPr>
          <w:p w14:paraId="7BB80466">
            <w:pPr>
              <w:jc w:val="center"/>
              <w:rPr>
                <w:rFonts w:ascii="Times New Roman" w:hAnsi="Times New Roman" w:eastAsia="仿宋_GB2312"/>
                <w:b/>
                <w:color w:val="FFFFFF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FFFFFF"/>
                <w:kern w:val="0"/>
                <w:sz w:val="28"/>
                <w:szCs w:val="28"/>
              </w:rPr>
              <w:t>具体环节课程安排</w:t>
            </w:r>
          </w:p>
        </w:tc>
        <w:tc>
          <w:tcPr>
            <w:tcW w:w="920" w:type="pct"/>
            <w:tcBorders>
              <w:top w:val="single" w:color="4F81BD" w:sz="8" w:space="0"/>
              <w:left w:val="single" w:color="4F81BD" w:sz="8" w:space="0"/>
              <w:bottom w:val="single" w:color="FFFFFF" w:sz="18" w:space="0"/>
              <w:right w:val="nil"/>
            </w:tcBorders>
            <w:shd w:val="clear" w:color="auto" w:fill="4F81BD"/>
          </w:tcPr>
          <w:p w14:paraId="39177AF3">
            <w:pPr>
              <w:jc w:val="center"/>
              <w:rPr>
                <w:rFonts w:ascii="Times New Roman" w:hAnsi="Times New Roman" w:eastAsia="仿宋_GB2312"/>
                <w:b/>
                <w:bCs/>
                <w:color w:val="FFFFFF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FFFFFF"/>
                <w:kern w:val="0"/>
                <w:sz w:val="28"/>
                <w:szCs w:val="28"/>
              </w:rPr>
              <w:t>授课师资</w:t>
            </w:r>
          </w:p>
        </w:tc>
      </w:tr>
      <w:tr w14:paraId="4850868B">
        <w:tblPrEx>
          <w:tblBorders>
            <w:top w:val="single" w:color="9CC2E5" w:sz="4" w:space="0"/>
            <w:left w:val="single" w:color="9CC2E5" w:sz="4" w:space="0"/>
            <w:bottom w:val="single" w:color="9CC2E5" w:sz="4" w:space="0"/>
            <w:right w:val="single" w:color="9CC2E5" w:sz="4" w:space="0"/>
            <w:insideH w:val="single" w:color="9CC2E5" w:sz="4" w:space="0"/>
            <w:insideV w:val="single" w:color="9CC2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746" w:type="pct"/>
            <w:vMerge w:val="restar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 w14:paraId="5FA61BF9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2026年</w:t>
            </w:r>
          </w:p>
          <w:p w14:paraId="5F44C2AF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6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25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日</w:t>
            </w:r>
          </w:p>
          <w:p w14:paraId="791BA090">
            <w:pPr>
              <w:pStyle w:val="2"/>
              <w:ind w:left="0" w:leftChars="0" w:firstLine="0" w:firstLineChars="0"/>
              <w:jc w:val="center"/>
              <w:rPr>
                <w:rFonts w:hint="eastAsia" w:eastAsia="仿宋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周四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807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 w14:paraId="796C0FE4">
            <w:pPr>
              <w:spacing w:line="320" w:lineRule="exact"/>
              <w:jc w:val="center"/>
              <w:rPr>
                <w:rFonts w:hint="default" w:ascii="Times New Roman" w:hAnsi="Times New Roman" w:eastAsia="仿宋" w:cs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ascii="Times New Roman" w:hAnsi="Times New Roman" w:eastAsia="仿宋"/>
                <w:sz w:val="24"/>
              </w:rPr>
              <w:t>9:30-</w:t>
            </w:r>
            <w:r>
              <w:rPr>
                <w:rFonts w:hint="eastAsia" w:ascii="Times New Roman" w:hAnsi="Times New Roman" w:eastAsia="仿宋"/>
                <w:sz w:val="24"/>
              </w:rPr>
              <w:t>9:45</w:t>
            </w:r>
          </w:p>
        </w:tc>
        <w:tc>
          <w:tcPr>
            <w:tcW w:w="2525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 w14:paraId="27041568">
            <w:pPr>
              <w:pStyle w:val="9"/>
              <w:spacing w:before="0" w:beforeAutospacing="0" w:after="0" w:line="320" w:lineRule="exact"/>
              <w:ind w:left="0" w:leftChars="0" w:firstLine="0" w:firstLineChars="0"/>
              <w:jc w:val="center"/>
              <w:rPr>
                <w:rFonts w:ascii="Times New Roman" w:hAnsi="Times New Roman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开班、致辞</w:t>
            </w:r>
          </w:p>
        </w:tc>
        <w:tc>
          <w:tcPr>
            <w:tcW w:w="920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 w14:paraId="229ADC39">
            <w:pPr>
              <w:spacing w:line="320" w:lineRule="exact"/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>各主办单位</w:t>
            </w:r>
          </w:p>
        </w:tc>
      </w:tr>
      <w:tr w14:paraId="3F60E00F">
        <w:tblPrEx>
          <w:tblBorders>
            <w:top w:val="single" w:color="9CC2E5" w:sz="4" w:space="0"/>
            <w:left w:val="single" w:color="9CC2E5" w:sz="4" w:space="0"/>
            <w:bottom w:val="single" w:color="9CC2E5" w:sz="4" w:space="0"/>
            <w:right w:val="single" w:color="9CC2E5" w:sz="4" w:space="0"/>
            <w:insideH w:val="single" w:color="9CC2E5" w:sz="4" w:space="0"/>
            <w:insideV w:val="single" w:color="9CC2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746" w:type="pct"/>
            <w:vMerge w:val="continue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415951C3">
            <w:pPr>
              <w:jc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807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 w14:paraId="525873B4">
            <w:pPr>
              <w:spacing w:line="320" w:lineRule="exact"/>
              <w:jc w:val="center"/>
              <w:rPr>
                <w:rFonts w:hint="default" w:ascii="Times New Roman" w:hAnsi="Times New Roman" w:eastAsia="仿宋" w:cs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9</w:t>
            </w:r>
            <w:r>
              <w:rPr>
                <w:rFonts w:ascii="Times New Roman" w:hAnsi="Times New Roman" w:eastAsia="仿宋"/>
                <w:sz w:val="24"/>
              </w:rPr>
              <w:t>:</w:t>
            </w:r>
            <w:r>
              <w:rPr>
                <w:rFonts w:hint="eastAsia" w:ascii="Times New Roman" w:hAnsi="Times New Roman" w:eastAsia="仿宋"/>
                <w:sz w:val="24"/>
              </w:rPr>
              <w:t>45</w:t>
            </w:r>
            <w:r>
              <w:rPr>
                <w:rFonts w:ascii="Times New Roman" w:hAnsi="Times New Roman" w:eastAsia="仿宋"/>
                <w:sz w:val="24"/>
              </w:rPr>
              <w:t>-1</w:t>
            </w:r>
            <w:r>
              <w:rPr>
                <w:rFonts w:hint="eastAsia" w:ascii="Times New Roman" w:hAnsi="Times New Roman" w:eastAsia="仿宋"/>
                <w:sz w:val="24"/>
              </w:rPr>
              <w:t>0</w:t>
            </w:r>
            <w:r>
              <w:rPr>
                <w:rFonts w:ascii="Times New Roman" w:hAnsi="Times New Roman" w:eastAsia="仿宋"/>
                <w:sz w:val="24"/>
              </w:rPr>
              <w:t>:</w:t>
            </w:r>
            <w:r>
              <w:rPr>
                <w:rFonts w:hint="eastAsia" w:ascii="Times New Roman" w:hAnsi="Times New Roman" w:eastAsia="仿宋"/>
                <w:sz w:val="24"/>
              </w:rPr>
              <w:t>45</w:t>
            </w:r>
          </w:p>
        </w:tc>
        <w:tc>
          <w:tcPr>
            <w:tcW w:w="2525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 w14:paraId="3C29EB07">
            <w:pPr>
              <w:pStyle w:val="5"/>
              <w:widowControl/>
              <w:spacing w:beforeAutospacing="0" w:afterAutospacing="0" w:line="400" w:lineRule="exact"/>
              <w:ind w:left="1928" w:hanging="1921" w:hangingChars="800"/>
              <w:jc w:val="both"/>
              <w:rPr>
                <w:rFonts w:ascii="Times New Roman" w:hAnsi="Times New Roman" w:eastAsia="仿宋"/>
                <w:b/>
                <w:bCs/>
                <w:kern w:val="2"/>
              </w:rPr>
            </w:pPr>
            <w:r>
              <w:rPr>
                <w:rFonts w:ascii="Times New Roman" w:hAnsi="Times New Roman" w:eastAsia="仿宋"/>
                <w:b/>
                <w:bCs/>
                <w:kern w:val="2"/>
              </w:rPr>
              <w:t>专题</w:t>
            </w:r>
            <w:r>
              <w:rPr>
                <w:rFonts w:hint="eastAsia" w:ascii="Times New Roman" w:hAnsi="Times New Roman" w:eastAsia="仿宋"/>
                <w:b/>
                <w:bCs/>
                <w:kern w:val="2"/>
              </w:rPr>
              <w:t>宣讲</w:t>
            </w:r>
            <w:r>
              <w:rPr>
                <w:rFonts w:ascii="Times New Roman" w:hAnsi="Times New Roman" w:eastAsia="仿宋"/>
                <w:b/>
                <w:bCs/>
                <w:kern w:val="2"/>
              </w:rPr>
              <w:t>：</w:t>
            </w:r>
          </w:p>
          <w:p w14:paraId="0D78A94E">
            <w:pPr>
              <w:pStyle w:val="5"/>
              <w:widowControl/>
              <w:spacing w:beforeAutospacing="0" w:afterAutospacing="0" w:line="400" w:lineRule="exact"/>
              <w:ind w:left="1920" w:leftChars="0" w:hanging="1920" w:hangingChars="800"/>
              <w:jc w:val="both"/>
              <w:rPr>
                <w:rFonts w:ascii="Times New Roman" w:hAnsi="Times New Roman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高质量发展的中国资本市场</w:t>
            </w:r>
          </w:p>
          <w:p w14:paraId="10852040">
            <w:pPr>
              <w:pStyle w:val="5"/>
              <w:widowControl/>
              <w:spacing w:beforeAutospacing="0" w:afterAutospacing="0" w:line="400" w:lineRule="exact"/>
              <w:ind w:left="1920" w:leftChars="0" w:hanging="1920" w:hangingChars="800"/>
              <w:jc w:val="both"/>
              <w:rPr>
                <w:rFonts w:ascii="Times New Roman" w:hAnsi="Times New Roman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仿宋_GB2312"/>
                <w:color w:val="000000"/>
                <w:kern w:val="0"/>
                <w:sz w:val="24"/>
                <w:lang w:val="en-US"/>
              </w:rPr>
              <w:t>——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val="en-US" w:eastAsia="zh-CN"/>
              </w:rPr>
              <w:t>2026年大类资产配置总结与展望</w:t>
            </w:r>
          </w:p>
        </w:tc>
        <w:tc>
          <w:tcPr>
            <w:tcW w:w="920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 w14:paraId="4D6FFF6D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>市场机构</w:t>
            </w:r>
          </w:p>
        </w:tc>
      </w:tr>
      <w:tr w14:paraId="75C971CB">
        <w:tblPrEx>
          <w:tblBorders>
            <w:top w:val="single" w:color="9CC2E5" w:sz="4" w:space="0"/>
            <w:left w:val="single" w:color="9CC2E5" w:sz="4" w:space="0"/>
            <w:bottom w:val="single" w:color="9CC2E5" w:sz="4" w:space="0"/>
            <w:right w:val="single" w:color="9CC2E5" w:sz="4" w:space="0"/>
            <w:insideH w:val="single" w:color="9CC2E5" w:sz="4" w:space="0"/>
            <w:insideV w:val="single" w:color="9CC2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9" w:hRule="atLeast"/>
        </w:trPr>
        <w:tc>
          <w:tcPr>
            <w:tcW w:w="746" w:type="pct"/>
            <w:vMerge w:val="continue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7310E14B">
            <w:pPr>
              <w:jc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807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 w14:paraId="33C3BEAC">
            <w:pPr>
              <w:spacing w:line="320" w:lineRule="exact"/>
              <w:jc w:val="center"/>
              <w:rPr>
                <w:rFonts w:hint="default" w:ascii="Times New Roman" w:hAnsi="Times New Roman" w:eastAsia="仿宋" w:cs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ascii="Times New Roman" w:hAnsi="Times New Roman" w:eastAsia="仿宋"/>
                <w:sz w:val="24"/>
              </w:rPr>
              <w:t>1</w:t>
            </w:r>
            <w:r>
              <w:rPr>
                <w:rFonts w:hint="eastAsia" w:ascii="Times New Roman" w:hAnsi="Times New Roman" w:eastAsia="仿宋"/>
                <w:sz w:val="24"/>
              </w:rPr>
              <w:t>1</w:t>
            </w:r>
            <w:r>
              <w:rPr>
                <w:rFonts w:ascii="Times New Roman" w:hAnsi="Times New Roman" w:eastAsia="仿宋"/>
                <w:sz w:val="24"/>
              </w:rPr>
              <w:t>:</w:t>
            </w:r>
            <w:r>
              <w:rPr>
                <w:rFonts w:hint="eastAsia" w:ascii="Times New Roman" w:hAnsi="Times New Roman" w:eastAsia="仿宋"/>
                <w:sz w:val="24"/>
              </w:rPr>
              <w:t>0</w:t>
            </w:r>
            <w:r>
              <w:rPr>
                <w:rFonts w:ascii="Times New Roman" w:hAnsi="Times New Roman" w:eastAsia="仿宋"/>
                <w:sz w:val="24"/>
              </w:rPr>
              <w:t>0-1</w:t>
            </w:r>
            <w:r>
              <w:rPr>
                <w:rFonts w:hint="eastAsia" w:ascii="Times New Roman" w:hAnsi="Times New Roman" w:eastAsia="仿宋"/>
                <w:sz w:val="24"/>
              </w:rPr>
              <w:t>2</w:t>
            </w:r>
            <w:r>
              <w:rPr>
                <w:rFonts w:ascii="Times New Roman" w:hAnsi="Times New Roman" w:eastAsia="仿宋"/>
                <w:sz w:val="24"/>
              </w:rPr>
              <w:t>:</w:t>
            </w:r>
            <w:r>
              <w:rPr>
                <w:rFonts w:hint="eastAsia" w:ascii="Times New Roman" w:hAnsi="Times New Roman" w:eastAsia="仿宋"/>
                <w:sz w:val="24"/>
              </w:rPr>
              <w:t>00</w:t>
            </w:r>
          </w:p>
        </w:tc>
        <w:tc>
          <w:tcPr>
            <w:tcW w:w="4725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 w14:paraId="47323DE1">
            <w:pPr>
              <w:pStyle w:val="5"/>
              <w:widowControl/>
              <w:spacing w:beforeAutospacing="0" w:afterAutospacing="0" w:line="400" w:lineRule="exact"/>
              <w:rPr>
                <w:rFonts w:ascii="Times New Roman" w:hAnsi="Times New Roman" w:eastAsia="仿宋"/>
                <w:b/>
                <w:bCs/>
                <w:kern w:val="2"/>
              </w:rPr>
            </w:pPr>
            <w:r>
              <w:rPr>
                <w:rFonts w:ascii="Times New Roman" w:hAnsi="Times New Roman" w:eastAsia="仿宋"/>
                <w:b/>
                <w:bCs/>
                <w:kern w:val="2"/>
              </w:rPr>
              <w:t>专题</w:t>
            </w:r>
            <w:r>
              <w:rPr>
                <w:rFonts w:hint="eastAsia" w:ascii="Times New Roman" w:hAnsi="Times New Roman" w:eastAsia="仿宋"/>
                <w:b/>
                <w:bCs/>
                <w:kern w:val="2"/>
              </w:rPr>
              <w:t>宣讲</w:t>
            </w:r>
            <w:r>
              <w:rPr>
                <w:rFonts w:ascii="Times New Roman" w:hAnsi="Times New Roman" w:eastAsia="仿宋"/>
                <w:b/>
                <w:bCs/>
                <w:kern w:val="2"/>
              </w:rPr>
              <w:t>：</w:t>
            </w:r>
          </w:p>
          <w:p w14:paraId="047C77D3">
            <w:pPr>
              <w:pStyle w:val="5"/>
              <w:widowControl/>
              <w:spacing w:beforeAutospacing="0" w:afterAutospacing="0" w:line="400" w:lineRule="exact"/>
              <w:ind w:left="1920" w:leftChars="0" w:hanging="1920" w:hangingChars="800"/>
              <w:jc w:val="both"/>
              <w:rPr>
                <w:rFonts w:hint="default" w:ascii="Times New Roman" w:hAnsi="Times New Roman" w:eastAsia="仿宋_GB2312" w:cs="仿宋_GB2312"/>
                <w:color w:val="000000"/>
                <w:kern w:val="0"/>
                <w:sz w:val="24"/>
                <w:lang w:val="en-US"/>
              </w:rPr>
            </w:pPr>
            <w:r>
              <w:rPr>
                <w:rFonts w:hint="default" w:ascii="Times New Roman" w:hAnsi="Times New Roman" w:eastAsia="仿宋_GB2312" w:cs="仿宋_GB2312"/>
                <w:color w:val="000000"/>
                <w:kern w:val="0"/>
                <w:sz w:val="24"/>
                <w:lang w:val="en-US"/>
              </w:rPr>
              <w:t>ETF投资一站式解决方案</w:t>
            </w:r>
          </w:p>
          <w:p w14:paraId="7A4F099F">
            <w:pPr>
              <w:pStyle w:val="5"/>
              <w:widowControl/>
              <w:spacing w:beforeAutospacing="0" w:afterAutospacing="0" w:line="400" w:lineRule="exact"/>
              <w:ind w:left="1920" w:leftChars="0" w:hanging="1920" w:hangingChars="800"/>
              <w:jc w:val="both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仿宋_GB2312"/>
                <w:color w:val="000000"/>
                <w:kern w:val="0"/>
                <w:sz w:val="24"/>
                <w:lang w:val="en-US"/>
              </w:rPr>
              <w:t>——</w:t>
            </w:r>
            <w:r>
              <w:rPr>
                <w:rFonts w:hint="default" w:ascii="Times New Roman" w:hAnsi="Times New Roman" w:eastAsia="仿宋_GB2312" w:cs="仿宋_GB2312"/>
                <w:color w:val="000000"/>
                <w:kern w:val="0"/>
                <w:sz w:val="24"/>
                <w:lang w:val="en-US" w:eastAsia="zh-CN"/>
              </w:rPr>
              <w:t>指数化投资前沿与实务</w:t>
            </w:r>
          </w:p>
        </w:tc>
        <w:tc>
          <w:tcPr>
            <w:tcW w:w="172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 w14:paraId="235252C5">
            <w:pPr>
              <w:spacing w:line="320" w:lineRule="exact"/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>中证指数公司</w:t>
            </w:r>
          </w:p>
        </w:tc>
      </w:tr>
      <w:tr w14:paraId="768A7D94">
        <w:tblPrEx>
          <w:tblBorders>
            <w:top w:val="single" w:color="9CC2E5" w:sz="4" w:space="0"/>
            <w:left w:val="single" w:color="9CC2E5" w:sz="4" w:space="0"/>
            <w:bottom w:val="single" w:color="9CC2E5" w:sz="4" w:space="0"/>
            <w:right w:val="single" w:color="9CC2E5" w:sz="4" w:space="0"/>
            <w:insideH w:val="single" w:color="9CC2E5" w:sz="4" w:space="0"/>
            <w:insideV w:val="single" w:color="9CC2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2" w:hRule="atLeast"/>
        </w:trPr>
        <w:tc>
          <w:tcPr>
            <w:tcW w:w="746" w:type="pct"/>
            <w:vMerge w:val="continue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</w:tcPr>
          <w:p w14:paraId="72244296">
            <w:pPr>
              <w:jc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807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 w14:paraId="275AED97">
            <w:pPr>
              <w:spacing w:line="320" w:lineRule="exact"/>
              <w:jc w:val="center"/>
              <w:rPr>
                <w:rFonts w:hint="default" w:ascii="Times New Roman" w:hAnsi="Times New Roman" w:eastAsia="仿宋" w:cs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13</w:t>
            </w:r>
            <w:r>
              <w:rPr>
                <w:rFonts w:ascii="Times New Roman" w:hAnsi="Times New Roman" w:eastAsia="仿宋"/>
                <w:sz w:val="24"/>
              </w:rPr>
              <w:t>:</w:t>
            </w:r>
            <w:r>
              <w:rPr>
                <w:rFonts w:hint="eastAsia" w:ascii="Times New Roman" w:hAnsi="Times New Roman" w:eastAsia="仿宋"/>
                <w:sz w:val="24"/>
                <w:lang w:val="en-US" w:eastAsia="zh-CN"/>
              </w:rPr>
              <w:t>30</w:t>
            </w:r>
            <w:r>
              <w:rPr>
                <w:rFonts w:ascii="Times New Roman" w:hAnsi="Times New Roman" w:eastAsia="仿宋"/>
                <w:sz w:val="24"/>
              </w:rPr>
              <w:t>-1</w:t>
            </w:r>
            <w:r>
              <w:rPr>
                <w:rFonts w:hint="eastAsia" w:ascii="Times New Roman" w:hAnsi="Times New Roman" w:eastAsia="仿宋"/>
                <w:sz w:val="24"/>
                <w:lang w:val="en-US" w:eastAsia="zh-CN"/>
              </w:rPr>
              <w:t>4</w:t>
            </w:r>
            <w:r>
              <w:rPr>
                <w:rFonts w:ascii="Times New Roman" w:hAnsi="Times New Roman" w:eastAsia="仿宋"/>
                <w:sz w:val="24"/>
              </w:rPr>
              <w:t>:</w:t>
            </w:r>
            <w:r>
              <w:rPr>
                <w:rFonts w:hint="eastAsia" w:ascii="Times New Roman" w:hAnsi="Times New Roman" w:eastAsia="仿宋"/>
                <w:sz w:val="24"/>
                <w:lang w:val="en-US" w:eastAsia="zh-CN"/>
              </w:rPr>
              <w:t>30</w:t>
            </w:r>
          </w:p>
        </w:tc>
        <w:tc>
          <w:tcPr>
            <w:tcW w:w="2525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 w14:paraId="6307EF69">
            <w:pPr>
              <w:pStyle w:val="5"/>
              <w:widowControl/>
              <w:spacing w:beforeAutospacing="0" w:afterAutospacing="0" w:line="400" w:lineRule="exact"/>
              <w:rPr>
                <w:rFonts w:ascii="Times New Roman" w:hAnsi="Times New Roman" w:eastAsia="仿宋"/>
                <w:b/>
                <w:bCs/>
                <w:kern w:val="2"/>
              </w:rPr>
            </w:pPr>
            <w:r>
              <w:rPr>
                <w:rFonts w:ascii="Times New Roman" w:hAnsi="Times New Roman" w:eastAsia="仿宋"/>
                <w:b/>
                <w:bCs/>
                <w:kern w:val="2"/>
              </w:rPr>
              <w:t>专题</w:t>
            </w:r>
            <w:r>
              <w:rPr>
                <w:rFonts w:hint="eastAsia" w:ascii="Times New Roman" w:hAnsi="Times New Roman" w:eastAsia="仿宋"/>
                <w:b/>
                <w:bCs/>
                <w:kern w:val="2"/>
              </w:rPr>
              <w:t>宣讲</w:t>
            </w:r>
            <w:r>
              <w:rPr>
                <w:rFonts w:ascii="Times New Roman" w:hAnsi="Times New Roman" w:eastAsia="仿宋"/>
                <w:b/>
                <w:bCs/>
                <w:kern w:val="2"/>
              </w:rPr>
              <w:t>：</w:t>
            </w:r>
          </w:p>
          <w:p w14:paraId="46D61A93">
            <w:pPr>
              <w:pStyle w:val="5"/>
              <w:widowControl/>
              <w:spacing w:beforeAutospacing="0" w:afterAutospacing="0" w:line="360" w:lineRule="auto"/>
              <w:rPr>
                <w:rFonts w:ascii="Times New Roman" w:hAnsi="Times New Roman" w:eastAsia="仿宋"/>
                <w:kern w:val="2"/>
              </w:rPr>
            </w:pPr>
            <w:r>
              <w:rPr>
                <w:rFonts w:ascii="Times New Roman" w:hAnsi="Times New Roman" w:eastAsia="仿宋"/>
                <w:kern w:val="2"/>
              </w:rPr>
              <w:t>不动产投资的破局和思考</w:t>
            </w:r>
          </w:p>
          <w:p w14:paraId="54970542">
            <w:pPr>
              <w:pStyle w:val="5"/>
              <w:widowControl/>
              <w:spacing w:beforeAutospacing="0" w:afterAutospacing="0" w:line="400" w:lineRule="exact"/>
              <w:ind w:left="1920" w:leftChars="0" w:hanging="1920" w:hangingChars="800"/>
              <w:jc w:val="both"/>
              <w:rPr>
                <w:rFonts w:hint="default" w:ascii="Times New Roman" w:hAnsi="Times New Roman" w:eastAsia="仿宋_GB2312" w:cs="仿宋_GB2312"/>
                <w:color w:val="000000"/>
                <w:kern w:val="0"/>
                <w:sz w:val="24"/>
                <w:lang w:val="en-US"/>
              </w:rPr>
            </w:pPr>
            <w:r>
              <w:rPr>
                <w:rFonts w:ascii="Times New Roman" w:hAnsi="Times New Roman" w:eastAsia="仿宋"/>
                <w:kern w:val="2"/>
              </w:rPr>
              <w:t>——上交所多层次REITs市场建设</w:t>
            </w:r>
          </w:p>
        </w:tc>
        <w:tc>
          <w:tcPr>
            <w:tcW w:w="920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 w14:paraId="0DE9B3BE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>上交所</w:t>
            </w:r>
          </w:p>
        </w:tc>
      </w:tr>
      <w:tr w14:paraId="1C5EC308">
        <w:tblPrEx>
          <w:tblBorders>
            <w:top w:val="single" w:color="9CC2E5" w:sz="4" w:space="0"/>
            <w:left w:val="single" w:color="9CC2E5" w:sz="4" w:space="0"/>
            <w:bottom w:val="single" w:color="9CC2E5" w:sz="4" w:space="0"/>
            <w:right w:val="single" w:color="9CC2E5" w:sz="4" w:space="0"/>
            <w:insideH w:val="single" w:color="9CC2E5" w:sz="4" w:space="0"/>
            <w:insideV w:val="single" w:color="9CC2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2" w:hRule="atLeast"/>
        </w:trPr>
        <w:tc>
          <w:tcPr>
            <w:tcW w:w="746" w:type="pct"/>
            <w:vMerge w:val="continue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43B888C2">
            <w:pPr>
              <w:jc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07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 w14:paraId="05FEC19A">
            <w:pPr>
              <w:spacing w:line="320" w:lineRule="exact"/>
              <w:jc w:val="center"/>
              <w:rPr>
                <w:rFonts w:hint="default" w:ascii="Times New Roman" w:hAnsi="Times New Roman" w:eastAsia="仿宋" w:cs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ascii="Times New Roman" w:hAnsi="Times New Roman" w:eastAsia="仿宋"/>
                <w:sz w:val="24"/>
              </w:rPr>
              <w:t>1</w:t>
            </w:r>
            <w:r>
              <w:rPr>
                <w:rFonts w:hint="eastAsia" w:ascii="Times New Roman" w:hAnsi="Times New Roman" w:eastAsia="仿宋"/>
                <w:sz w:val="24"/>
                <w:lang w:val="en-US" w:eastAsia="zh-CN"/>
              </w:rPr>
              <w:t>4</w:t>
            </w:r>
            <w:r>
              <w:rPr>
                <w:rFonts w:ascii="Times New Roman" w:hAnsi="Times New Roman" w:eastAsia="仿宋"/>
                <w:sz w:val="24"/>
              </w:rPr>
              <w:t>:</w:t>
            </w:r>
            <w:r>
              <w:rPr>
                <w:rFonts w:hint="eastAsia" w:ascii="Times New Roman" w:hAnsi="Times New Roman" w:eastAsia="仿宋"/>
                <w:sz w:val="24"/>
                <w:lang w:val="en-US" w:eastAsia="zh-CN"/>
              </w:rPr>
              <w:t>45</w:t>
            </w:r>
            <w:r>
              <w:rPr>
                <w:rFonts w:ascii="Times New Roman" w:hAnsi="Times New Roman" w:eastAsia="仿宋"/>
                <w:sz w:val="24"/>
              </w:rPr>
              <w:t>-1</w:t>
            </w:r>
            <w:r>
              <w:rPr>
                <w:rFonts w:hint="eastAsia" w:ascii="Times New Roman" w:hAnsi="Times New Roman" w:eastAsia="仿宋"/>
                <w:sz w:val="24"/>
              </w:rPr>
              <w:t>6</w:t>
            </w:r>
            <w:r>
              <w:rPr>
                <w:rFonts w:ascii="Times New Roman" w:hAnsi="Times New Roman" w:eastAsia="仿宋"/>
                <w:sz w:val="24"/>
              </w:rPr>
              <w:t>:</w:t>
            </w:r>
            <w:r>
              <w:rPr>
                <w:rFonts w:hint="eastAsia" w:ascii="Times New Roman" w:hAnsi="Times New Roman" w:eastAsia="仿宋"/>
                <w:sz w:val="24"/>
                <w:lang w:val="en-US" w:eastAsia="zh-CN"/>
              </w:rPr>
              <w:t>00</w:t>
            </w:r>
          </w:p>
        </w:tc>
        <w:tc>
          <w:tcPr>
            <w:tcW w:w="2525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 w14:paraId="1D5CD111">
            <w:pPr>
              <w:pStyle w:val="5"/>
              <w:widowControl/>
              <w:spacing w:beforeAutospacing="0" w:afterAutospacing="0" w:line="400" w:lineRule="exact"/>
              <w:rPr>
                <w:rFonts w:ascii="Times New Roman" w:hAnsi="Times New Roman" w:eastAsia="仿宋"/>
                <w:b/>
                <w:bCs/>
                <w:kern w:val="2"/>
              </w:rPr>
            </w:pPr>
            <w:r>
              <w:rPr>
                <w:rFonts w:ascii="Times New Roman" w:hAnsi="Times New Roman" w:eastAsia="仿宋"/>
                <w:b/>
                <w:bCs/>
                <w:kern w:val="2"/>
              </w:rPr>
              <w:t>专题</w:t>
            </w:r>
            <w:r>
              <w:rPr>
                <w:rFonts w:hint="eastAsia" w:ascii="Times New Roman" w:hAnsi="Times New Roman" w:eastAsia="仿宋"/>
                <w:b/>
                <w:bCs/>
                <w:kern w:val="2"/>
              </w:rPr>
              <w:t>宣讲</w:t>
            </w:r>
            <w:r>
              <w:rPr>
                <w:rFonts w:ascii="Times New Roman" w:hAnsi="Times New Roman" w:eastAsia="仿宋"/>
                <w:b/>
                <w:bCs/>
                <w:kern w:val="2"/>
              </w:rPr>
              <w:t>：</w:t>
            </w:r>
          </w:p>
          <w:p w14:paraId="709A5A18">
            <w:pPr>
              <w:pStyle w:val="5"/>
              <w:widowControl/>
              <w:spacing w:beforeAutospacing="0" w:afterAutospacing="0" w:line="400" w:lineRule="exact"/>
              <w:ind w:left="1920" w:leftChars="0" w:hanging="1920" w:hangingChars="800"/>
              <w:jc w:val="both"/>
              <w:rPr>
                <w:rFonts w:ascii="Times New Roman" w:hAnsi="Times New Roman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期现联动助力资本市场高质量发展</w:t>
            </w:r>
          </w:p>
          <w:p w14:paraId="4CB6A8EB">
            <w:pPr>
              <w:pStyle w:val="5"/>
              <w:widowControl/>
              <w:spacing w:beforeAutospacing="0" w:afterAutospacing="0" w:line="400" w:lineRule="exact"/>
              <w:ind w:left="1920" w:leftChars="0" w:hanging="1920" w:hangingChars="800"/>
              <w:jc w:val="both"/>
              <w:rPr>
                <w:rFonts w:ascii="Times New Roman" w:hAnsi="Times New Roman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仿宋_GB2312"/>
                <w:color w:val="000000"/>
                <w:kern w:val="0"/>
                <w:sz w:val="24"/>
                <w:lang w:val="en-US"/>
              </w:rPr>
              <w:t>——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衍生品在资产管理中的运用</w:t>
            </w:r>
          </w:p>
        </w:tc>
        <w:tc>
          <w:tcPr>
            <w:tcW w:w="920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 w14:paraId="3F551DBD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>中金所</w:t>
            </w:r>
          </w:p>
        </w:tc>
      </w:tr>
    </w:tbl>
    <w:p w14:paraId="5148FE82">
      <w:pPr>
        <w:jc w:val="left"/>
        <w:rPr>
          <w:rFonts w:hint="eastAsia" w:ascii="Times New Roman" w:hAnsi="Times New Roman" w:eastAsia="楷体" w:cs="宋体"/>
          <w:b/>
          <w:bCs/>
          <w:sz w:val="24"/>
        </w:rPr>
      </w:pPr>
    </w:p>
    <w:p w14:paraId="23CDCFE2">
      <w:pPr>
        <w:rPr>
          <w:rFonts w:hint="eastAsia" w:eastAsia="楷体"/>
          <w:lang w:eastAsia="zh-CN"/>
        </w:rPr>
      </w:pPr>
      <w:r>
        <w:rPr>
          <w:rFonts w:hint="eastAsia" w:ascii="Times New Roman" w:hAnsi="Times New Roman" w:eastAsia="楷体" w:cs="宋体"/>
          <w:sz w:val="24"/>
        </w:rPr>
        <w:t>（具体课程安排</w:t>
      </w:r>
      <w:r>
        <w:rPr>
          <w:rFonts w:hint="eastAsia" w:ascii="Times New Roman" w:hAnsi="Times New Roman" w:eastAsia="楷体" w:cs="宋体"/>
          <w:sz w:val="24"/>
          <w:lang w:eastAsia="zh-CN"/>
        </w:rPr>
        <w:t>可能</w:t>
      </w:r>
      <w:r>
        <w:rPr>
          <w:rFonts w:hint="eastAsia" w:ascii="Times New Roman" w:hAnsi="Times New Roman" w:eastAsia="楷体" w:cs="宋体"/>
          <w:sz w:val="24"/>
        </w:rPr>
        <w:t>根据实际情况进行调整</w:t>
      </w:r>
      <w:r>
        <w:rPr>
          <w:rFonts w:hint="eastAsia" w:ascii="Times New Roman" w:hAnsi="Times New Roman" w:eastAsia="楷体" w:cs="宋体"/>
          <w:sz w:val="24"/>
          <w:lang w:eastAsia="zh-CN"/>
        </w:rPr>
        <w:t>，以培训当天安排为准）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DE383DBC-447D-8641-7CAF-2F6A0961704E}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76C1DCB-4F64-9E19-7CAF-2F6A05E5302A}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  <w:embedRegular r:id="rId3" w:fontKey="{ADB1AA0B-8667-735C-7CAF-2F6A7B6B0460}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  <w:embedRegular r:id="rId4" w:fontKey="{7057504C-E44F-F0DF-7CAF-2F6A91ED6E8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305F3889-2690-F7C2-7CAF-2F6A675FFE6E}"/>
  </w:font>
  <w:font w:name="Tahoma">
    <w:altName w:val="DejaVu Sans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6" w:fontKey="{71C24DC6-6046-A0E8-7CAF-2F6AF63A58AF}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7" w:fontKey="{63F272C0-3A6E-9A12-7CAF-2F6A15EF7986}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8" w:fontKey="{B6EB8326-0383-AE43-7CAF-2F6A3B124DC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0376BC"/>
    <w:rsid w:val="01537435"/>
    <w:rsid w:val="02731368"/>
    <w:rsid w:val="05A63B1B"/>
    <w:rsid w:val="0C92450A"/>
    <w:rsid w:val="0F032540"/>
    <w:rsid w:val="10546F3B"/>
    <w:rsid w:val="10CC3E59"/>
    <w:rsid w:val="12592623"/>
    <w:rsid w:val="1269506E"/>
    <w:rsid w:val="156D4C43"/>
    <w:rsid w:val="172F04B2"/>
    <w:rsid w:val="18ED58F0"/>
    <w:rsid w:val="1C0A3439"/>
    <w:rsid w:val="1D1B6499"/>
    <w:rsid w:val="1E4E3AB1"/>
    <w:rsid w:val="2099326B"/>
    <w:rsid w:val="25AB02BB"/>
    <w:rsid w:val="26371684"/>
    <w:rsid w:val="26E33204"/>
    <w:rsid w:val="29F76E63"/>
    <w:rsid w:val="2AF874C7"/>
    <w:rsid w:val="2BCE696B"/>
    <w:rsid w:val="2C610E53"/>
    <w:rsid w:val="2D633D07"/>
    <w:rsid w:val="2E6C3F1D"/>
    <w:rsid w:val="2FF30813"/>
    <w:rsid w:val="30450B65"/>
    <w:rsid w:val="3049057C"/>
    <w:rsid w:val="30976D05"/>
    <w:rsid w:val="31DA3AEF"/>
    <w:rsid w:val="365E5DA3"/>
    <w:rsid w:val="369E0CAE"/>
    <w:rsid w:val="39693F38"/>
    <w:rsid w:val="3A817D67"/>
    <w:rsid w:val="3AD04F79"/>
    <w:rsid w:val="3AFC19D9"/>
    <w:rsid w:val="3B194FEF"/>
    <w:rsid w:val="3B2A2088"/>
    <w:rsid w:val="3B765A19"/>
    <w:rsid w:val="3CE01F56"/>
    <w:rsid w:val="3D3E45FC"/>
    <w:rsid w:val="3D9B1D3F"/>
    <w:rsid w:val="3E5C76CC"/>
    <w:rsid w:val="3FDA502C"/>
    <w:rsid w:val="4051078A"/>
    <w:rsid w:val="4091073C"/>
    <w:rsid w:val="41BD1DF6"/>
    <w:rsid w:val="4296571A"/>
    <w:rsid w:val="43413E16"/>
    <w:rsid w:val="438B551F"/>
    <w:rsid w:val="44677DB8"/>
    <w:rsid w:val="455253C2"/>
    <w:rsid w:val="48110DD1"/>
    <w:rsid w:val="49127D9E"/>
    <w:rsid w:val="51283F24"/>
    <w:rsid w:val="51D132FD"/>
    <w:rsid w:val="52BB2AF6"/>
    <w:rsid w:val="53F229C4"/>
    <w:rsid w:val="540376BC"/>
    <w:rsid w:val="541423B7"/>
    <w:rsid w:val="55FE1393"/>
    <w:rsid w:val="56200B13"/>
    <w:rsid w:val="56260A77"/>
    <w:rsid w:val="57413E55"/>
    <w:rsid w:val="58996038"/>
    <w:rsid w:val="58F44C79"/>
    <w:rsid w:val="5D2378DB"/>
    <w:rsid w:val="5E577370"/>
    <w:rsid w:val="5F6F1F5E"/>
    <w:rsid w:val="607D4515"/>
    <w:rsid w:val="62887F97"/>
    <w:rsid w:val="67A625A0"/>
    <w:rsid w:val="6A3A2708"/>
    <w:rsid w:val="6EDF6CBC"/>
    <w:rsid w:val="6F0E458B"/>
    <w:rsid w:val="700A0A64"/>
    <w:rsid w:val="7047792D"/>
    <w:rsid w:val="74AF2912"/>
    <w:rsid w:val="74CA78B6"/>
    <w:rsid w:val="791D122B"/>
    <w:rsid w:val="79E9735F"/>
    <w:rsid w:val="7C7A1710"/>
    <w:rsid w:val="7E5F4018"/>
    <w:rsid w:val="7EA0012F"/>
    <w:rsid w:val="CFD72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/>
    </w:pPr>
  </w:style>
  <w:style w:type="paragraph" w:styleId="3">
    <w:name w:val="Body Text"/>
    <w:basedOn w:val="1"/>
    <w:unhideWhenUsed/>
    <w:qFormat/>
    <w:uiPriority w:val="99"/>
    <w:rPr>
      <w:rFonts w:hint="eastAsia" w:eastAsia="仿宋_GB2312"/>
      <w:sz w:val="28"/>
      <w:szCs w:val="31"/>
    </w:rPr>
  </w:style>
  <w:style w:type="paragraph" w:styleId="4">
    <w:name w:val="Subtitle"/>
    <w:basedOn w:val="1"/>
    <w:qFormat/>
    <w:uiPriority w:val="11"/>
    <w:pPr>
      <w:widowControl/>
      <w:jc w:val="center"/>
    </w:pPr>
    <w:rPr>
      <w:rFonts w:ascii="Tahoma" w:hAnsi="Tahoma"/>
      <w:kern w:val="0"/>
      <w:sz w:val="28"/>
      <w:szCs w:val="20"/>
      <w:lang w:eastAsia="en-US"/>
    </w:rPr>
  </w:style>
  <w:style w:type="paragraph" w:styleId="5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customStyle="1" w:styleId="8">
    <w:name w:val="网格表 4 - 着色 11"/>
    <w:basedOn w:val="6"/>
    <w:qFormat/>
    <w:uiPriority w:val="49"/>
    <w:rPr>
      <w:rFonts w:ascii="Times New Roman" w:hAnsi="Times New Roman" w:eastAsia="宋体" w:cs="Times New Roman"/>
    </w:rPr>
    <w:tblPr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  <w:insideV w:val="single" w:color="9CC2E5" w:themeColor="accen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cPr>
        <w:tcBorders>
          <w:top w:val="double" w:color="5B9BD5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</w:style>
  <w:style w:type="paragraph" w:customStyle="1" w:styleId="9">
    <w:name w:val="正文首行缩进 21"/>
    <w:basedOn w:val="1"/>
    <w:autoRedefine/>
    <w:qFormat/>
    <w:uiPriority w:val="0"/>
    <w:pPr>
      <w:spacing w:before="100" w:beforeAutospacing="1" w:after="120"/>
      <w:ind w:left="420" w:leftChars="200" w:firstLine="210"/>
    </w:pPr>
    <w:rPr>
      <w:rFonts w:ascii="Calibri" w:hAnsi="Calibri" w:eastAsia="宋体" w:cs="Calibri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284</Words>
  <Characters>347</Characters>
  <Lines>0</Lines>
  <Paragraphs>0</Paragraphs>
  <TotalTime>0</TotalTime>
  <ScaleCrop>false</ScaleCrop>
  <LinksUpToDate>false</LinksUpToDate>
  <CharactersWithSpaces>349</CharactersWithSpaces>
  <Application>WPS Office_12.8.2.19313_F1E327BC-269C-435d-A152-05C5408002CA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2024-11-20T15:14:00Z</dcterms:created>
  <dc:creator>Administrator</dc:creator>
  <cp:lastModifiedBy>qjni</cp:lastModifiedBy>
  <dcterms:modified xsi:type="dcterms:W3CDTF">2026-06-15T15:53:30Z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2052-12.8.2.19313</vt:lpwstr>
  </property>
  <property fmtid="{D5CDD505-2E9C-101B-9397-08002B2CF9AE}" pid="3" name="ICV">
    <vt:lpwstr>A1A9D7595BFF43F59C7897482B7E7807</vt:lpwstr>
  </property>
  <property fmtid="{D5CDD505-2E9C-101B-9397-08002B2CF9AE}" pid="4" name="KSOTemplateDocerSaveRecord">
    <vt:lpwstr>eyJoZGlkIjoiYWZkODgyMjgxMzlkZjVhYmVhZmY5YjQ1OGQ4Y2ZhMDIiLCJ1c2VySWQiOiI0MzE1NzI1NjIifQ==</vt:lpwstr>
  </property>
</Properties>
</file>