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E4F0BF">
      <w:pPr>
        <w:widowControl/>
        <w:snapToGrid w:val="0"/>
        <w:spacing w:line="500" w:lineRule="exact"/>
        <w:jc w:val="left"/>
        <w:rPr>
          <w:rFonts w:hint="eastAsia" w:ascii="黑体" w:hAnsi="黑体" w:eastAsia="黑体" w:cs="黑体"/>
          <w:sz w:val="30"/>
          <w:szCs w:val="30"/>
          <w:lang w:val="en-US" w:eastAsia="zh-CN"/>
        </w:rPr>
      </w:pPr>
      <w:r>
        <w:rPr>
          <w:rFonts w:hint="eastAsia" w:ascii="Times New Roman" w:hAnsi="Times New Roman" w:eastAsia="黑体"/>
          <w:bCs/>
          <w:kern w:val="44"/>
          <w:sz w:val="30"/>
          <w:szCs w:val="30"/>
        </w:rPr>
        <w:t>附件1：</w:t>
      </w:r>
    </w:p>
    <w:p w14:paraId="7C82AA72">
      <w:pPr>
        <w:jc w:val="center"/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  <w:lang w:val="en-US" w:eastAsia="zh-CN"/>
        </w:rPr>
      </w:pPr>
      <w:bookmarkStart w:id="0" w:name="_GoBack"/>
      <w:r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  <w:lang w:val="en-US" w:eastAsia="zh-CN"/>
        </w:rPr>
        <w:t>践行三投资理念，促进高质量发展</w:t>
      </w:r>
    </w:p>
    <w:p w14:paraId="4C0062F2">
      <w:pPr>
        <w:jc w:val="center"/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  <w:lang w:val="en-US" w:eastAsia="zh-CN"/>
        </w:rPr>
      </w:pPr>
      <w:r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  <w:lang w:val="en-US" w:eastAsia="zh-CN"/>
        </w:rPr>
        <w:t>上海证券交易所机构投资者服务黄河流域行（济南站）</w:t>
      </w:r>
    </w:p>
    <w:p w14:paraId="498F2AA4">
      <w:pPr>
        <w:jc w:val="center"/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</w:rPr>
      </w:pPr>
      <w:r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  <w:lang w:val="en-US" w:eastAsia="zh-CN"/>
        </w:rPr>
        <w:t>培训</w:t>
      </w:r>
      <w:r>
        <w:rPr>
          <w:rFonts w:hint="eastAsia" w:ascii="方正黑体_GBK" w:hAnsi="方正黑体_GBK" w:eastAsia="方正黑体_GBK" w:cs="方正黑体_GBK"/>
          <w:bCs/>
          <w:kern w:val="0"/>
          <w:sz w:val="30"/>
          <w:szCs w:val="30"/>
        </w:rPr>
        <w:t>课程表</w:t>
      </w:r>
    </w:p>
    <w:bookmarkEnd w:id="0"/>
    <w:p w14:paraId="71E69235">
      <w:pPr>
        <w:jc w:val="left"/>
        <w:rPr>
          <w:rFonts w:hint="eastAsia" w:ascii="Times New Roman" w:hAnsi="Times New Roman" w:eastAsia="楷体" w:cs="宋体"/>
          <w:b/>
          <w:bCs/>
          <w:sz w:val="24"/>
        </w:rPr>
      </w:pPr>
    </w:p>
    <w:p w14:paraId="45F70111">
      <w:pPr>
        <w:jc w:val="left"/>
        <w:rPr>
          <w:rFonts w:hint="eastAsia" w:ascii="Times New Roman" w:hAnsi="Times New Roman" w:eastAsia="楷体" w:cs="宋体"/>
          <w:b/>
          <w:bCs/>
          <w:sz w:val="22"/>
          <w:szCs w:val="21"/>
        </w:rPr>
      </w:pPr>
      <w:r>
        <w:rPr>
          <w:rFonts w:hint="eastAsia" w:ascii="Times New Roman" w:hAnsi="Times New Roman" w:eastAsia="楷体" w:cs="宋体"/>
          <w:b/>
          <w:bCs/>
          <w:sz w:val="24"/>
        </w:rPr>
        <w:t>培训地点：</w:t>
      </w:r>
      <w:r>
        <w:rPr>
          <w:rFonts w:hint="eastAsia" w:ascii="Times New Roman" w:hAnsi="Times New Roman" w:eastAsia="楷体" w:cs="宋体"/>
          <w:b/>
          <w:bCs/>
          <w:sz w:val="24"/>
          <w:lang w:val="en-US" w:eastAsia="zh-CN"/>
        </w:rPr>
        <w:t>济南润华皇冠假日酒店三楼大宴会厅(济南市槐荫区日照路100号)</w:t>
      </w:r>
    </w:p>
    <w:tbl>
      <w:tblPr>
        <w:tblStyle w:val="6"/>
        <w:tblpPr w:leftFromText="180" w:rightFromText="180" w:vertAnchor="text" w:horzAnchor="page" w:tblpX="1450" w:tblpY="109"/>
        <w:tblOverlap w:val="never"/>
        <w:tblW w:w="5488" w:type="pct"/>
        <w:tblInd w:w="0" w:type="dxa"/>
        <w:tblBorders>
          <w:top w:val="single" w:color="9CC2E5" w:sz="4" w:space="0"/>
          <w:left w:val="single" w:color="9CC2E5" w:sz="4" w:space="0"/>
          <w:bottom w:val="single" w:color="9CC2E5" w:sz="4" w:space="0"/>
          <w:right w:val="single" w:color="9CC2E5" w:sz="4" w:space="0"/>
          <w:insideH w:val="single" w:color="9CC2E5" w:sz="4" w:space="0"/>
          <w:insideV w:val="single" w:color="9CC2E5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7"/>
        <w:gridCol w:w="1510"/>
        <w:gridCol w:w="4725"/>
        <w:gridCol w:w="1722"/>
      </w:tblGrid>
      <w:tr w14:paraId="09D26732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9" w:hRule="atLeast"/>
        </w:trPr>
        <w:tc>
          <w:tcPr>
            <w:tcW w:w="1553" w:type="pct"/>
            <w:gridSpan w:val="2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243F9529">
            <w:pPr>
              <w:jc w:val="center"/>
              <w:rPr>
                <w:rFonts w:ascii="Times New Roman" w:hAnsi="Times New Roman" w:eastAsia="仿宋_GB2312"/>
                <w:b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培训日程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7BB80466">
            <w:pPr>
              <w:jc w:val="center"/>
              <w:rPr>
                <w:rFonts w:ascii="Times New Roman" w:hAnsi="Times New Roman" w:eastAsia="仿宋_GB2312"/>
                <w:b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具体环节课程安排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FFFFFF" w:sz="18" w:space="0"/>
              <w:right w:val="nil"/>
            </w:tcBorders>
            <w:shd w:val="clear" w:color="auto" w:fill="4F81BD"/>
          </w:tcPr>
          <w:p w14:paraId="39177AF3">
            <w:pPr>
              <w:jc w:val="center"/>
              <w:rPr>
                <w:rFonts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</w:pPr>
            <w:r>
              <w:rPr>
                <w:rFonts w:hint="eastAsia" w:ascii="Times New Roman" w:hAnsi="Times New Roman" w:eastAsia="仿宋_GB2312"/>
                <w:b/>
                <w:bCs/>
                <w:color w:val="FFFFFF"/>
                <w:kern w:val="0"/>
                <w:sz w:val="28"/>
                <w:szCs w:val="28"/>
              </w:rPr>
              <w:t>授课师资</w:t>
            </w:r>
          </w:p>
        </w:tc>
      </w:tr>
      <w:tr w14:paraId="4850868B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</w:tblPrEx>
        <w:trPr>
          <w:trHeight w:val="641" w:hRule="atLeast"/>
        </w:trPr>
        <w:tc>
          <w:tcPr>
            <w:tcW w:w="746" w:type="pct"/>
            <w:vMerge w:val="restar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5F44C2AF">
            <w:pPr>
              <w:jc w:val="center"/>
              <w:rPr>
                <w:rFonts w:hint="eastAsia" w:ascii="仿宋_GB2312" w:hAnsi="仿宋_GB2312" w:eastAsia="仿宋_GB2312" w:cs="仿宋_GB2312"/>
                <w:sz w:val="24"/>
                <w:szCs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月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日</w:t>
            </w:r>
          </w:p>
          <w:p w14:paraId="791BA090">
            <w:pPr>
              <w:pStyle w:val="2"/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周三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807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796C0FE4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9:30-9:45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7041568">
            <w:pPr>
              <w:pStyle w:val="9"/>
              <w:spacing w:before="0" w:beforeAutospacing="0" w:after="0" w:line="320" w:lineRule="exact"/>
              <w:ind w:left="0" w:lef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开班、致辞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29ADC39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各主办单位</w:t>
            </w:r>
          </w:p>
        </w:tc>
      </w:tr>
      <w:tr w14:paraId="3F60E00F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746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415951C3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07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525873B4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9:45-10:45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3C29EB07">
            <w:pPr>
              <w:pStyle w:val="5"/>
              <w:widowControl/>
              <w:spacing w:beforeAutospacing="0" w:afterAutospacing="0" w:line="400" w:lineRule="exact"/>
              <w:ind w:left="1928" w:hanging="1928" w:hangingChars="800"/>
              <w:jc w:val="both"/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  <w:t>专题宣讲：</w:t>
            </w:r>
          </w:p>
          <w:p w14:paraId="0D78A94E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  <w:t>高质量发展的中国资本市场</w:t>
            </w:r>
          </w:p>
          <w:p w14:paraId="10852040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  <w:t>——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>2025年大类资产配置总结与展望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4D6FFF6D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市场机构</w:t>
            </w:r>
          </w:p>
        </w:tc>
      </w:tr>
      <w:tr w14:paraId="75C971CB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</w:tblPrEx>
        <w:trPr>
          <w:trHeight w:val="1339" w:hRule="atLeast"/>
        </w:trPr>
        <w:tc>
          <w:tcPr>
            <w:tcW w:w="746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7310E14B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07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33C3BEAC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11:00-12:00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404E1E06">
            <w:pPr>
              <w:pStyle w:val="5"/>
              <w:widowControl/>
              <w:spacing w:beforeAutospacing="0" w:afterAutospacing="0" w:line="400" w:lineRule="exact"/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  <w:t>专题宣讲：</w:t>
            </w:r>
          </w:p>
          <w:p w14:paraId="010C2E99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>ETF投资一站式解决方案</w:t>
            </w:r>
          </w:p>
          <w:p w14:paraId="22DD980F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>——指数化投资前沿与实务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235252C5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中证指数公司</w:t>
            </w:r>
          </w:p>
        </w:tc>
      </w:tr>
      <w:tr w14:paraId="768A7D94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02" w:hRule="atLeast"/>
        </w:trPr>
        <w:tc>
          <w:tcPr>
            <w:tcW w:w="746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</w:tcPr>
          <w:p w14:paraId="72244296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4"/>
                <w:szCs w:val="20"/>
              </w:rPr>
            </w:pPr>
          </w:p>
        </w:tc>
        <w:tc>
          <w:tcPr>
            <w:tcW w:w="807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275AED97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13:30-1</w:t>
            </w: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sz w:val="24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00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6307EF69">
            <w:pPr>
              <w:pStyle w:val="5"/>
              <w:widowControl/>
              <w:spacing w:beforeAutospacing="0" w:afterAutospacing="0" w:line="400" w:lineRule="exact"/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  <w:t>专题宣讲：</w:t>
            </w:r>
          </w:p>
          <w:p w14:paraId="768F9C8F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/>
              </w:rPr>
              <w:t>“并购六条”背景下的产业投资方法论</w:t>
            </w:r>
          </w:p>
          <w:p w14:paraId="452E5EE6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/>
              </w:rPr>
              <w:t>——</w:t>
            </w: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>上市公司产业投资（CVC）理论与实务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  <w:vAlign w:val="center"/>
          </w:tcPr>
          <w:p w14:paraId="0DE9B3BE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市场机构</w:t>
            </w:r>
          </w:p>
        </w:tc>
      </w:tr>
      <w:tr w14:paraId="1C5EC308">
        <w:tblPrEx>
          <w:tblBorders>
            <w:top w:val="single" w:color="9CC2E5" w:sz="4" w:space="0"/>
            <w:left w:val="single" w:color="9CC2E5" w:sz="4" w:space="0"/>
            <w:bottom w:val="single" w:color="9CC2E5" w:sz="4" w:space="0"/>
            <w:right w:val="single" w:color="9CC2E5" w:sz="4" w:space="0"/>
            <w:insideH w:val="single" w:color="9CC2E5" w:sz="4" w:space="0"/>
            <w:insideV w:val="single" w:color="9CC2E5" w:sz="4" w:space="0"/>
          </w:tblBorders>
        </w:tblPrEx>
        <w:trPr>
          <w:trHeight w:val="1542" w:hRule="atLeast"/>
        </w:trPr>
        <w:tc>
          <w:tcPr>
            <w:tcW w:w="746" w:type="pct"/>
            <w:vMerge w:val="continue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FFFFFF"/>
          </w:tcPr>
          <w:p w14:paraId="43B888C2">
            <w:pPr>
              <w:jc w:val="center"/>
              <w:rPr>
                <w:rFonts w:hint="eastAsia" w:ascii="仿宋_GB2312" w:hAnsi="仿宋_GB2312" w:eastAsia="仿宋_GB2312" w:cs="仿宋_GB2312"/>
                <w:b/>
                <w:bCs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807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05FEC19A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15:</w:t>
            </w: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</w:rPr>
              <w:t>0-16:30</w:t>
            </w:r>
          </w:p>
        </w:tc>
        <w:tc>
          <w:tcPr>
            <w:tcW w:w="2525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1D5CD111">
            <w:pPr>
              <w:pStyle w:val="5"/>
              <w:widowControl/>
              <w:spacing w:beforeAutospacing="0" w:afterAutospacing="0" w:line="400" w:lineRule="exact"/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kern w:val="2"/>
              </w:rPr>
              <w:t>专题宣讲：</w:t>
            </w:r>
          </w:p>
          <w:p w14:paraId="6C37928E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 xml:space="preserve">期现联动助力资本市场高质量发展 </w:t>
            </w:r>
          </w:p>
          <w:p w14:paraId="747E8462">
            <w:pPr>
              <w:pStyle w:val="5"/>
              <w:widowControl/>
              <w:spacing w:beforeAutospacing="0" w:afterAutospacing="0" w:line="400" w:lineRule="exact"/>
              <w:ind w:left="1920" w:leftChars="0" w:hanging="1920" w:hangingChars="800"/>
              <w:jc w:val="both"/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4"/>
                <w:lang w:val="en-US" w:eastAsia="zh-CN"/>
              </w:rPr>
              <w:t>——衍生品在资产管理中的运用</w:t>
            </w:r>
          </w:p>
        </w:tc>
        <w:tc>
          <w:tcPr>
            <w:tcW w:w="920" w:type="pct"/>
            <w:tcBorders>
              <w:top w:val="single" w:color="4F81BD" w:sz="8" w:space="0"/>
              <w:left w:val="single" w:color="4F81BD" w:sz="8" w:space="0"/>
              <w:bottom w:val="single" w:color="4F81BD" w:sz="8" w:space="0"/>
              <w:right w:val="single" w:color="4F81BD" w:sz="8" w:space="0"/>
            </w:tcBorders>
            <w:shd w:val="clear" w:color="auto" w:fill="B8CCE4"/>
            <w:vAlign w:val="center"/>
          </w:tcPr>
          <w:p w14:paraId="3F551DBD">
            <w:pPr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中金所</w:t>
            </w:r>
          </w:p>
        </w:tc>
      </w:tr>
    </w:tbl>
    <w:p w14:paraId="69303035">
      <w:pPr>
        <w:jc w:val="left"/>
        <w:rPr>
          <w:rFonts w:hint="eastAsia" w:ascii="Times New Roman" w:hAnsi="Times New Roman" w:eastAsia="楷体" w:cs="宋体"/>
          <w:b/>
          <w:bCs/>
          <w:sz w:val="24"/>
        </w:rPr>
      </w:pPr>
    </w:p>
    <w:p w14:paraId="23CDCFE2">
      <w:pPr>
        <w:rPr>
          <w:rFonts w:hint="eastAsia" w:eastAsia="楷体"/>
          <w:lang w:eastAsia="zh-CN"/>
        </w:rPr>
      </w:pPr>
      <w:r>
        <w:rPr>
          <w:rFonts w:hint="eastAsia" w:ascii="Times New Roman" w:hAnsi="Times New Roman" w:eastAsia="楷体" w:cs="宋体"/>
          <w:sz w:val="24"/>
        </w:rPr>
        <w:t>（具体课程安排</w:t>
      </w:r>
      <w:r>
        <w:rPr>
          <w:rFonts w:hint="eastAsia" w:ascii="Times New Roman" w:hAnsi="Times New Roman" w:eastAsia="楷体" w:cs="宋体"/>
          <w:sz w:val="24"/>
          <w:lang w:eastAsia="zh-CN"/>
        </w:rPr>
        <w:t>可能</w:t>
      </w:r>
      <w:r>
        <w:rPr>
          <w:rFonts w:hint="eastAsia" w:ascii="Times New Roman" w:hAnsi="Times New Roman" w:eastAsia="楷体" w:cs="宋体"/>
          <w:sz w:val="24"/>
        </w:rPr>
        <w:t>根据实际情况进行调整</w:t>
      </w:r>
      <w:r>
        <w:rPr>
          <w:rFonts w:hint="eastAsia" w:ascii="Times New Roman" w:hAnsi="Times New Roman" w:eastAsia="楷体" w:cs="宋体"/>
          <w:sz w:val="24"/>
          <w:lang w:eastAsia="zh-CN"/>
        </w:rPr>
        <w:t>，以培训当天安排为准）</w:t>
      </w: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BA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3085E6B-4E2F-B4EE-803F-086941E8DA2C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82E7559A-CA17-2FDE-803F-086946A77F4F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3" w:fontKey="{7CA56D29-9749-0314-803F-0869D0FAE9F6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880F05CE-DA9F-D591-803F-0869518F1542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0743C5AB-CC98-9B3D-803F-0869AAED60C7}"/>
  </w:font>
  <w:font w:name="Tahoma">
    <w:altName w:val="DejaVu Sans"/>
    <w:panose1 w:val="020B0604030504040204"/>
    <w:charset w:val="00"/>
    <w:family w:val="swiss"/>
    <w:pitch w:val="default"/>
    <w:sig w:usb0="00000000" w:usb1="00000000" w:usb2="00000029" w:usb3="00000000" w:csb0="200101FF" w:csb1="20280000"/>
  </w:font>
  <w:font w:name="楷体">
    <w:altName w:val="方正楷体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9AEE55BF-56BF-4967-803F-0869009F1044}"/>
  </w:font>
  <w:font w:name="仿宋">
    <w:altName w:val="宋体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80556D56-CB10-02E2-803F-08698B1EDDA8}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  <w:embedRegular r:id="rId8" w:fontKey="{2E08C30E-D2F2-E192-803F-0869D1100DF2}"/>
  </w:font>
  <w:font w:name="Courier 10 Pitch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Noto Mono">
    <w:panose1 w:val="020B0609030804020204"/>
    <w:charset w:val="00"/>
    <w:family w:val="auto"/>
    <w:pitch w:val="default"/>
    <w:sig w:usb0="E00002EF" w:usb1="4000205B" w:usb2="00000028" w:usb3="00000000" w:csb0="2000019F" w:csb1="00000000"/>
    <w:embedRegular r:id="rId9" w:fontKey="{00044EC6-522A-8AA2-803F-08693076160F}"/>
  </w:font>
  <w:font w:name="Noto Kufi Arabic">
    <w:panose1 w:val="020B0506030804020204"/>
    <w:charset w:val="00"/>
    <w:family w:val="auto"/>
    <w:pitch w:val="default"/>
    <w:sig w:usb0="00002000" w:usb1="00000000" w:usb2="00000008" w:usb3="00000000" w:csb0="00000001" w:csb1="00000000"/>
    <w:embedRegular r:id="rId10" w:fontKey="{1852470D-9185-C218-803F-0869BAFC5E44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5606824C-A4C5-5371-803F-08690FC4929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40376BC"/>
    <w:rsid w:val="01537435"/>
    <w:rsid w:val="02731368"/>
    <w:rsid w:val="05A63B1B"/>
    <w:rsid w:val="0C92450A"/>
    <w:rsid w:val="0F032540"/>
    <w:rsid w:val="10CC3E59"/>
    <w:rsid w:val="12592623"/>
    <w:rsid w:val="156D4C43"/>
    <w:rsid w:val="172F04B2"/>
    <w:rsid w:val="18ED58F0"/>
    <w:rsid w:val="1C0A3439"/>
    <w:rsid w:val="1D1B6499"/>
    <w:rsid w:val="1E4E3AB1"/>
    <w:rsid w:val="25AB02BB"/>
    <w:rsid w:val="26371684"/>
    <w:rsid w:val="266FCC10"/>
    <w:rsid w:val="26E33204"/>
    <w:rsid w:val="29F76E63"/>
    <w:rsid w:val="2AF874C7"/>
    <w:rsid w:val="2C610E53"/>
    <w:rsid w:val="30450B65"/>
    <w:rsid w:val="30976D05"/>
    <w:rsid w:val="31DA3AEF"/>
    <w:rsid w:val="365E5DA3"/>
    <w:rsid w:val="39693F38"/>
    <w:rsid w:val="3A817D67"/>
    <w:rsid w:val="3AFC19D9"/>
    <w:rsid w:val="3B194FEF"/>
    <w:rsid w:val="3B2A2088"/>
    <w:rsid w:val="3B765A19"/>
    <w:rsid w:val="3D3E45FC"/>
    <w:rsid w:val="3D9B1D3F"/>
    <w:rsid w:val="3E5C76CC"/>
    <w:rsid w:val="3FDA502C"/>
    <w:rsid w:val="4091073C"/>
    <w:rsid w:val="41BD1DF6"/>
    <w:rsid w:val="438B551F"/>
    <w:rsid w:val="44677DB8"/>
    <w:rsid w:val="455253C2"/>
    <w:rsid w:val="51283F24"/>
    <w:rsid w:val="51D132FD"/>
    <w:rsid w:val="53F229C4"/>
    <w:rsid w:val="540376BC"/>
    <w:rsid w:val="56260A77"/>
    <w:rsid w:val="57413E55"/>
    <w:rsid w:val="5D2378DB"/>
    <w:rsid w:val="5F6F1F5E"/>
    <w:rsid w:val="6A3A2708"/>
    <w:rsid w:val="6EDF6CBC"/>
    <w:rsid w:val="6F0E458B"/>
    <w:rsid w:val="7047792D"/>
    <w:rsid w:val="74AF2912"/>
    <w:rsid w:val="74CA78B6"/>
    <w:rsid w:val="79E9735F"/>
    <w:rsid w:val="7C7A1710"/>
    <w:rsid w:val="7E5F4018"/>
    <w:rsid w:val="7EA0012F"/>
    <w:rsid w:val="F5FF0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iPriority="99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unhideWhenUsed/>
    <w:qFormat/>
    <w:uiPriority w:val="99"/>
    <w:pPr>
      <w:ind w:firstLine="420"/>
    </w:pPr>
  </w:style>
  <w:style w:type="paragraph" w:styleId="3">
    <w:name w:val="Body Text"/>
    <w:basedOn w:val="1"/>
    <w:unhideWhenUsed/>
    <w:qFormat/>
    <w:uiPriority w:val="99"/>
    <w:rPr>
      <w:rFonts w:hint="eastAsia" w:eastAsia="仿宋_GB2312"/>
      <w:sz w:val="28"/>
      <w:szCs w:val="31"/>
    </w:rPr>
  </w:style>
  <w:style w:type="paragraph" w:styleId="4">
    <w:name w:val="Subtitle"/>
    <w:basedOn w:val="1"/>
    <w:qFormat/>
    <w:uiPriority w:val="11"/>
    <w:pPr>
      <w:widowControl/>
      <w:jc w:val="center"/>
    </w:pPr>
    <w:rPr>
      <w:rFonts w:ascii="Tahoma" w:hAnsi="Tahoma"/>
      <w:kern w:val="0"/>
      <w:sz w:val="28"/>
      <w:szCs w:val="20"/>
      <w:lang w:eastAsia="en-US"/>
    </w:rPr>
  </w:style>
  <w:style w:type="paragraph" w:styleId="5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customStyle="1" w:styleId="8">
    <w:name w:val="网格表 4 - 着色 11"/>
    <w:basedOn w:val="6"/>
    <w:qFormat/>
    <w:uiPriority w:val="49"/>
    <w:rPr>
      <w:rFonts w:ascii="Times New Roman" w:hAnsi="Times New Roman" w:eastAsia="宋体" w:cs="Times New Roman"/>
    </w:rPr>
    <w:tblPr>
      <w:tblBorders>
        <w:top w:val="single" w:color="9CC2E5" w:themeColor="accent1" w:themeTint="99" w:sz="4" w:space="0"/>
        <w:left w:val="single" w:color="9CC2E5" w:themeColor="accent1" w:themeTint="99" w:sz="4" w:space="0"/>
        <w:bottom w:val="single" w:color="9CC2E5" w:themeColor="accent1" w:themeTint="99" w:sz="4" w:space="0"/>
        <w:right w:val="single" w:color="9CC2E5" w:themeColor="accent1" w:themeTint="99" w:sz="4" w:space="0"/>
        <w:insideH w:val="single" w:color="9CC2E5" w:themeColor="accent1" w:themeTint="99" w:sz="4" w:space="0"/>
        <w:insideV w:val="single" w:color="9CC2E5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cPr>
        <w:tcBorders>
          <w:top w:val="double" w:color="5B9BD5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EEAF6" w:themeFill="accent1" w:themeFillTint="33"/>
      </w:tcPr>
    </w:tblStylePr>
    <w:tblStylePr w:type="band1Horz">
      <w:tcPr>
        <w:shd w:val="clear" w:color="auto" w:fill="DEEAF6" w:themeFill="accent1" w:themeFillTint="33"/>
      </w:tcPr>
    </w:tblStylePr>
  </w:style>
  <w:style w:type="paragraph" w:customStyle="1" w:styleId="9">
    <w:name w:val="正文首行缩进 21"/>
    <w:basedOn w:val="1"/>
    <w:autoRedefine/>
    <w:qFormat/>
    <w:uiPriority w:val="0"/>
    <w:pPr>
      <w:spacing w:before="100" w:beforeAutospacing="1" w:after="120"/>
      <w:ind w:left="420" w:leftChars="200" w:firstLine="210"/>
    </w:pPr>
    <w:rPr>
      <w:rFonts w:ascii="Calibri" w:hAnsi="Calibri" w:eastAsia="宋体" w:cs="Calibri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296</Words>
  <Characters>356</Characters>
  <Lines>0</Lines>
  <Paragraphs>0</Paragraphs>
  <TotalTime>1</TotalTime>
  <ScaleCrop>false</ScaleCrop>
  <LinksUpToDate>false</LinksUpToDate>
  <CharactersWithSpaces>357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2024-11-20T15:14:00Z</dcterms:created>
  <dc:creator>Administrator</dc:creator>
  <cp:lastModifiedBy>qjni</cp:lastModifiedBy>
  <dcterms:modified xsi:type="dcterms:W3CDTF">2025-11-03T13:37:04Z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A1A9D7595BFF43F59C7897482B7E7807</vt:lpwstr>
  </property>
  <property fmtid="{D5CDD505-2E9C-101B-9397-08002B2CF9AE}" pid="4" name="KSOTemplateDocerSaveRecord">
    <vt:lpwstr>eyJoZGlkIjoiYWZkODgyMjgxMzlkZjVhYmVhZmY5YjQ1OGQ4Y2ZhMDIiLCJ1c2VySWQiOiI0MzE1NzI1NjIifQ==</vt:lpwstr>
  </property>
</Properties>
</file>