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ED6CC">
      <w:pPr>
        <w:widowControl/>
        <w:snapToGrid w:val="0"/>
        <w:spacing w:line="440" w:lineRule="exact"/>
        <w:jc w:val="left"/>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附件3:</w:t>
      </w:r>
      <w:bookmarkStart w:id="0" w:name="_GoBack"/>
      <w:bookmarkEnd w:id="0"/>
    </w:p>
    <w:p w14:paraId="69C75108">
      <w:pPr>
        <w:widowControl/>
        <w:shd w:val="clear" w:color="auto" w:fill="FFFFFF"/>
        <w:adjustRightInd w:val="0"/>
        <w:snapToGrid w:val="0"/>
        <w:jc w:val="both"/>
        <w:rPr>
          <w:rFonts w:hint="default" w:ascii="Segoe UI" w:hAnsi="Segoe UI" w:eastAsia="宋体" w:cs="Segoe UI"/>
          <w:b w:val="0"/>
          <w:bCs w:val="0"/>
          <w:color w:val="333333"/>
          <w:kern w:val="0"/>
          <w:sz w:val="32"/>
          <w:szCs w:val="32"/>
          <w:lang w:val="en-US" w:eastAsia="zh-CN"/>
        </w:rPr>
      </w:pPr>
    </w:p>
    <w:p w14:paraId="32D4F463">
      <w:pPr>
        <w:widowControl/>
        <w:snapToGrid w:val="0"/>
        <w:spacing w:line="440" w:lineRule="exact"/>
        <w:ind w:firstLine="480"/>
        <w:jc w:val="center"/>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上海证券交易所市场参与者个人信息保护告知书</w:t>
      </w:r>
    </w:p>
    <w:p w14:paraId="3C7C5F6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p>
    <w:p w14:paraId="74BAC2CB">
      <w:pPr>
        <w:widowControl/>
        <w:shd w:val="clear" w:color="auto" w:fill="FFFFFF"/>
        <w:adjustRightInd w:val="0"/>
        <w:snapToGrid w:val="0"/>
        <w:ind w:firstLine="360" w:firstLineChars="20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为了保护您的个人信息，根据《中华人民共和国民法典》《中华人民共和国个人信息保护法》《中华人民共和国证券法》等法律、行政法规、部门规章和规范性文件（以下合称法律法规），上海证券交易所（以下简称本所）就履行自律管理职责、开展自律管理活动中涉及的个人信息保护事宜告知如下：</w:t>
      </w:r>
    </w:p>
    <w:p w14:paraId="66D5210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一、我们为何收集和使用您的个人信息</w:t>
      </w:r>
    </w:p>
    <w:p w14:paraId="1E6A491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（一）本所处理个人信息的目的。本所依照法律法规和本所业务规则的规定，为履行以下自律管理职责、开展自律管理活动之需要，处理您的个人信息：</w:t>
      </w:r>
    </w:p>
    <w:p w14:paraId="0806DA3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1.提供证券集中交易的场所、设施和服务；</w:t>
      </w:r>
    </w:p>
    <w:p w14:paraId="27CA7D9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2.制定和修改本所的业务规则；</w:t>
      </w:r>
    </w:p>
    <w:p w14:paraId="6489DA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3.按照国务院及中国证监会规定，审核证券公开发行上市申请；</w:t>
      </w:r>
    </w:p>
    <w:p w14:paraId="1D3F03E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4.审核、安排证券上市交易，决定证券终止上市和重新上市等；</w:t>
      </w:r>
    </w:p>
    <w:p w14:paraId="300E3DF3">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5.提供非公开发行证券转让服务；</w:t>
      </w:r>
    </w:p>
    <w:p w14:paraId="1C6BC8D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6.组织和监督证券交易；</w:t>
      </w:r>
    </w:p>
    <w:p w14:paraId="24DBA30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7.组织实施交易品种和交易方式创新；</w:t>
      </w:r>
    </w:p>
    <w:p w14:paraId="370436A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8.对会员进行监管；</w:t>
      </w:r>
    </w:p>
    <w:p w14:paraId="59AD0C9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9.对证券上市交易公司及相关信息披露义务人进行监管，提供网站供信息披露义务人发布依法披露的信息；</w:t>
      </w:r>
    </w:p>
    <w:p w14:paraId="2099C99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10.对证券服务机构为证券发行上市、交易等提供服务的行为进行监管；</w:t>
      </w:r>
    </w:p>
    <w:p w14:paraId="4B7073F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11.设立或者参与设立证券登记结算机构；</w:t>
      </w:r>
    </w:p>
    <w:p w14:paraId="39DB7AD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12.管理和公布市场信息；</w:t>
      </w:r>
    </w:p>
    <w:p w14:paraId="1389F1A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13.开展投资者教育和保护；</w:t>
      </w:r>
    </w:p>
    <w:p w14:paraId="6FDBFCB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14.法律、行政法规规定的以及中国证监会许可、授权或者委托的其他职能。</w:t>
      </w:r>
    </w:p>
    <w:p w14:paraId="5B9B83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（二）本所处理个人信息原则。在遵循合法、正当、必要原则前提下，仅在以实现处理目的所必要的最小范围内对上述证券市场参与者个人信息进行收集和使用。</w:t>
      </w:r>
    </w:p>
    <w:p w14:paraId="262C1BD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本所处理的个人信息范围。本所根据自律管理活动的实际需要处理市场参与者个人信息，包括以下一项或者多项信息：姓名、身份证件信息、配偶及近亲属信息、职务信息、通讯信息、证券及衍生品账户开户信息、交易信息、持有股份和资金信息等。</w:t>
      </w:r>
    </w:p>
    <w:p w14:paraId="677CCAF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二、我们如何收集您的个人信息</w:t>
      </w:r>
    </w:p>
    <w:p w14:paraId="0192BE0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本所主要从下列途径收集市场参与者个人信息：</w:t>
      </w:r>
    </w:p>
    <w:p w14:paraId="4DAFAEC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市场参与者向本所提供：例如市场参与主体在证券发行上市申请文件、信息披露文件中向本所提供涉及发行人的董事、监事、高级管理人员、核心技术人员、股东、实际控制人及其一致行动人等主体的个人信息。</w:t>
      </w:r>
    </w:p>
    <w:p w14:paraId="1814836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2.市场参与者通过中介机构提供：例如投资者在参与本所市场证券交易活动中，为订立证券交易、转让合同等，通过本所会员等中介机构向本所报送个人信息。</w:t>
      </w:r>
    </w:p>
    <w:p w14:paraId="68715FBF">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市场参与者按照本所要求提供：例如在开展证券发行上市审核、监督证券交易、实施纪律处分和监管措施等履行自律管理职责过程中，本所按照规则规定要求自律监管对象向本所或者通过中介机构向本所提供个人信息。</w:t>
      </w:r>
    </w:p>
    <w:p w14:paraId="338E0C61">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4.本所开展业务活动中收集：例如市场参与主体在使用本所网站、手机APP、投资者教育和培训等服务中产生的个人信息。</w:t>
      </w:r>
    </w:p>
    <w:p w14:paraId="346F5B2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5.从第三方机构获取：例如本所按照业务规则规定要求会员提供客户相关个人信息，或者通过有业务合作的第三方机构获取市场参与者个人信息。</w:t>
      </w:r>
    </w:p>
    <w:p w14:paraId="1E3837E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三、我们如何使用您的个人信息</w:t>
      </w:r>
    </w:p>
    <w:p w14:paraId="3B96AD5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（一）本所收集的市场参与者个人信息，用于本告知书第一节列举的使用目的以及法律法规规定的其他用途。</w:t>
      </w:r>
    </w:p>
    <w:p w14:paraId="54276F9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（二）按照法律法规和业务规则规定，本所通常需要在下列情形下向相关机构提供市场参与者个人信息：</w:t>
      </w:r>
    </w:p>
    <w:p w14:paraId="65B2851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1.向证券监督管理机构、证券市场自律管理组织、投资者保护机构等主体提供；</w:t>
      </w:r>
    </w:p>
    <w:p w14:paraId="52F986D8">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2.向证券交易场所、证券登记结算机构、证券公司等证券业务开展主体提供（含互联互通业务中的境外证券业务开展主体）；</w:t>
      </w:r>
    </w:p>
    <w:p w14:paraId="2C6B946C">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3.向行政、司法、监察、审计等有权机关或其指定主体提供；</w:t>
      </w:r>
    </w:p>
    <w:p w14:paraId="37FE42D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4.法律法规和业务规则规定的其他情形。</w:t>
      </w:r>
    </w:p>
    <w:p w14:paraId="70DB140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（三）根据法律法规和业务规则的规定，本所在实施日常监管、纪律处分、监管措施等自律监管活动中，将依据业务规则规定公开被监管对象的特定信息。</w:t>
      </w:r>
    </w:p>
    <w:p w14:paraId="32D6D93E">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根据《证券法》的规定，本所依法为投资者的信息保密，不得非法对外买卖、提供或者公开投资者的信息。因此，除本条第二项所述依照法律法规和业务规则规定向有权机关和相关主体提供的情形外，本所不面向其他单位和个人提供投资者信息。</w:t>
      </w:r>
    </w:p>
    <w:p w14:paraId="3EB8E0D5">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（五）根据法律法规和业务开展需要，本所将在合理的范围内处理个人自行公开或者其他已经合法公开的个人信息。</w:t>
      </w:r>
    </w:p>
    <w:p w14:paraId="283938D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四、我们如何保护您的个人信息</w:t>
      </w:r>
    </w:p>
    <w:p w14:paraId="4E17E012">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（一）本所建立专门管理制度以保障市场主体个人信息的安全。</w:t>
      </w:r>
    </w:p>
    <w:p w14:paraId="7B6F160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（二）本所按照法律法规要求，采取技术措施和其他必要措施，保障市场参与者个人信息安全。</w:t>
      </w:r>
    </w:p>
    <w:p w14:paraId="1C64B560">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三）由于技术水平限制及可能存在的各种恶意手段，安全问题有可能因本所可控范围外的因素而出现。在发生个人信息安全事件后，本所将按照法律法规及业务规则的规定，通过发布公告、本所会员转告等适当方式进行告知。</w:t>
      </w:r>
    </w:p>
    <w:p w14:paraId="7EDE1D67">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（四）本所收集的市场主体个人信息，除按照法律法规和业务规则需要出境情形外，将存储在中华人民共和国境内。</w:t>
      </w:r>
    </w:p>
    <w:p w14:paraId="3A64453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（五）保存期限。本所对市场参与者个人信息保存期限为二十年，法律法规另有规定的，从其规定。市场参与者信息保存到期后，经评估无需延期保存的，实施数据删除。</w:t>
      </w:r>
    </w:p>
    <w:p w14:paraId="31A80A4A">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六）您有权按照个人信息收集和提供的途径，向证券发行人、证券公司、证券服务机构等主体查阅、复制由其向本所提供的您本人的个人信息。如果发现您的个人信息不准确或者不完整时，您有权请求更正、补充。</w:t>
      </w:r>
    </w:p>
    <w:p w14:paraId="53D4A2EB">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w:t>
      </w:r>
      <w:r>
        <w:rPr>
          <w:rFonts w:ascii="Segoe UI" w:hAnsi="Segoe UI" w:eastAsia="宋体" w:cs="Segoe UI"/>
          <w:b/>
          <w:bCs/>
          <w:color w:val="333333"/>
          <w:kern w:val="0"/>
          <w:sz w:val="18"/>
          <w:szCs w:val="18"/>
        </w:rPr>
        <w:t>五、如何联系我们</w:t>
      </w:r>
    </w:p>
    <w:p w14:paraId="72BF60AD">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联系地址：上海市浦东新区杨高南路388号</w:t>
      </w:r>
    </w:p>
    <w:p w14:paraId="1AF85C79">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电话总机：021-68808888</w:t>
      </w:r>
    </w:p>
    <w:p w14:paraId="76D2BDE4">
      <w:pPr>
        <w:widowControl/>
        <w:shd w:val="clear" w:color="auto" w:fill="FFFFFF"/>
        <w:adjustRightInd w:val="0"/>
        <w:snapToGrid w:val="0"/>
        <w:jc w:val="left"/>
        <w:rPr>
          <w:rFonts w:ascii="Segoe UI" w:hAnsi="Segoe UI" w:eastAsia="宋体" w:cs="Segoe UI"/>
          <w:color w:val="333333"/>
          <w:kern w:val="0"/>
          <w:sz w:val="18"/>
          <w:szCs w:val="18"/>
        </w:rPr>
      </w:pPr>
      <w:r>
        <w:rPr>
          <w:rFonts w:ascii="Segoe UI" w:hAnsi="Segoe UI" w:eastAsia="宋体" w:cs="Segoe UI"/>
          <w:color w:val="333333"/>
          <w:kern w:val="0"/>
          <w:sz w:val="18"/>
          <w:szCs w:val="18"/>
        </w:rPr>
        <w:t>　　邮政编码：200127</w:t>
      </w:r>
    </w:p>
    <w:p w14:paraId="616D8DC8">
      <w:pPr>
        <w:widowControl/>
        <w:shd w:val="clear" w:color="auto" w:fill="FFFFFF"/>
        <w:adjustRightInd w:val="0"/>
        <w:snapToGrid w:val="0"/>
        <w:jc w:val="left"/>
      </w:pPr>
      <w:r>
        <w:rPr>
          <w:rFonts w:ascii="Segoe UI" w:hAnsi="Segoe UI" w:eastAsia="宋体" w:cs="Segoe UI"/>
          <w:color w:val="333333"/>
          <w:kern w:val="0"/>
          <w:sz w:val="18"/>
          <w:szCs w:val="18"/>
        </w:rPr>
        <w:t>　　网址：</w:t>
      </w:r>
      <w:r>
        <w:fldChar w:fldCharType="begin"/>
      </w:r>
      <w:r>
        <w:instrText xml:space="preserve"> HYPERLINK "http://www.sse.com.cn/" \o "www.sse.com.cn" </w:instrText>
      </w:r>
      <w:r>
        <w:fldChar w:fldCharType="separate"/>
      </w:r>
      <w:r>
        <w:rPr>
          <w:rFonts w:ascii="Segoe UI" w:hAnsi="Segoe UI" w:eastAsia="宋体" w:cs="Segoe UI"/>
          <w:color w:val="005FC9"/>
          <w:kern w:val="0"/>
          <w:sz w:val="18"/>
          <w:szCs w:val="18"/>
        </w:rPr>
        <w:t>www.sse.com.cn</w:t>
      </w:r>
      <w:r>
        <w:rPr>
          <w:rFonts w:ascii="Segoe UI" w:hAnsi="Segoe UI" w:eastAsia="宋体" w:cs="Segoe UI"/>
          <w:color w:val="005FC9"/>
          <w:kern w:val="0"/>
          <w:sz w:val="18"/>
          <w:szCs w:val="1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egoe UI">
    <w:altName w:val="Noto Naskh Arabic"/>
    <w:panose1 w:val="020B0502040204020203"/>
    <w:charset w:val="00"/>
    <w:family w:val="swiss"/>
    <w:pitch w:val="default"/>
    <w:sig w:usb0="00000000" w:usb1="00000000" w:usb2="00000029" w:usb3="00000000" w:csb0="200001DF" w:csb1="2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80210"/>
    <w:rsid w:val="08C75F1C"/>
    <w:rsid w:val="27EE6DB3"/>
    <w:rsid w:val="3EC80210"/>
    <w:rsid w:val="7FD7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2024-07-18T09:08:00Z</dcterms:created>
  <dc:creator>wzhou</dc:creator>
  <cp:lastModifiedBy>cyzhu</cp:lastModifiedBy>
  <dcterms:modified xsi:type="dcterms:W3CDTF">2025-08-28T08:53:40Z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77E0B9ACF0AF47588ED8C01B0D33BC10_11</vt:lpwstr>
  </property>
</Properties>
</file>