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C43958">
      <w:pPr>
        <w:widowControl/>
        <w:spacing w:line="360" w:lineRule="auto"/>
        <w:jc w:val="left"/>
        <w:rPr>
          <w:rFonts w:hint="eastAsia" w:ascii="仿宋_GB2312" w:hAnsi="仿宋_GB2312" w:eastAsia="仿宋_GB2312" w:cs="仿宋_GB2312"/>
          <w:b/>
          <w:kern w:val="0"/>
          <w:sz w:val="32"/>
          <w:szCs w:val="32"/>
          <w:lang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附件1：《课程表》</w:t>
      </w:r>
      <w:bookmarkEnd w:id="0"/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  <w:lang w:val="en-US" w:eastAsia="zh-CN"/>
        </w:rPr>
        <w:t>计划</w:t>
      </w: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  <w:lang w:eastAsia="zh-CN"/>
        </w:rPr>
        <w:t>）</w:t>
      </w:r>
    </w:p>
    <w:tbl>
      <w:tblPr>
        <w:tblStyle w:val="2"/>
        <w:tblpPr w:leftFromText="180" w:rightFromText="180" w:vertAnchor="text" w:horzAnchor="page" w:tblpX="1177" w:tblpY="153"/>
        <w:tblOverlap w:val="never"/>
        <w:tblW w:w="9630" w:type="dxa"/>
        <w:tblInd w:w="0" w:type="dxa"/>
        <w:tblBorders>
          <w:top w:val="none" w:color="auto" w:sz="0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6"/>
        <w:gridCol w:w="1387"/>
        <w:gridCol w:w="2077"/>
        <w:gridCol w:w="3710"/>
        <w:gridCol w:w="1650"/>
      </w:tblGrid>
      <w:tr w14:paraId="65D4F4F0">
        <w:tblPrEx>
          <w:tblBorders>
            <w:top w:val="none" w:color="auto" w:sz="0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tblHeader/>
        </w:trPr>
        <w:tc>
          <w:tcPr>
            <w:tcW w:w="806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77B2A1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38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0C34AE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207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690085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课程名称</w:t>
            </w:r>
          </w:p>
        </w:tc>
        <w:tc>
          <w:tcPr>
            <w:tcW w:w="371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8A8BEA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课程内容</w:t>
            </w:r>
          </w:p>
        </w:tc>
        <w:tc>
          <w:tcPr>
            <w:tcW w:w="165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311CA5D3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授课师资</w:t>
            </w:r>
          </w:p>
        </w:tc>
      </w:tr>
      <w:tr w14:paraId="7EE5A3F8">
        <w:tblPrEx>
          <w:tblBorders>
            <w:top w:val="none" w:color="auto" w:sz="0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" w:hRule="atLeast"/>
        </w:trPr>
        <w:tc>
          <w:tcPr>
            <w:tcW w:w="80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B6E8C4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82FF2E">
            <w:pPr>
              <w:widowControl/>
              <w:spacing w:line="360" w:lineRule="auto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6月26日9:00-9:15</w:t>
            </w:r>
          </w:p>
        </w:tc>
        <w:tc>
          <w:tcPr>
            <w:tcW w:w="2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033A58">
            <w:pPr>
              <w:widowControl/>
              <w:spacing w:line="360" w:lineRule="auto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开班讲话</w:t>
            </w:r>
          </w:p>
        </w:tc>
        <w:tc>
          <w:tcPr>
            <w:tcW w:w="3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3BCBA1">
            <w:pPr>
              <w:widowControl/>
              <w:tabs>
                <w:tab w:val="left" w:pos="855"/>
              </w:tabs>
              <w:spacing w:line="360" w:lineRule="auto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1978B9C3">
            <w:pPr>
              <w:widowControl/>
              <w:spacing w:line="360" w:lineRule="auto"/>
              <w:jc w:val="center"/>
              <w:rPr>
                <w:rFonts w:hint="default" w:ascii="仿宋_GB2312" w:hAnsi="仿宋_GB2312" w:eastAsia="仿宋_GB2312" w:cs="仿宋_GB2312"/>
                <w:kern w:val="0"/>
                <w:szCs w:val="21"/>
                <w:lang w:val="en-US" w:eastAsia="zh-CN"/>
              </w:rPr>
            </w:pPr>
          </w:p>
        </w:tc>
      </w:tr>
      <w:tr w14:paraId="7D93A016">
        <w:tblPrEx>
          <w:tblBorders>
            <w:top w:val="none" w:color="auto" w:sz="0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" w:hRule="atLeast"/>
        </w:trPr>
        <w:tc>
          <w:tcPr>
            <w:tcW w:w="80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48E06A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7E590F"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月2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日</w:t>
            </w:r>
          </w:p>
          <w:p w14:paraId="241C9BC7">
            <w:pPr>
              <w:widowControl/>
              <w:spacing w:line="360" w:lineRule="auto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9:15-10:15</w:t>
            </w:r>
          </w:p>
        </w:tc>
        <w:tc>
          <w:tcPr>
            <w:tcW w:w="2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7F7784">
            <w:pPr>
              <w:widowControl/>
              <w:spacing w:line="36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低空经济发展路径与制度保障</w:t>
            </w:r>
          </w:p>
        </w:tc>
        <w:tc>
          <w:tcPr>
            <w:tcW w:w="3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695C00">
            <w:pPr>
              <w:widowControl/>
              <w:spacing w:line="360" w:lineRule="auto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低空经济相关政策及发展方向介绍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3CEE6254"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指控学会推荐</w:t>
            </w:r>
          </w:p>
        </w:tc>
      </w:tr>
      <w:tr w14:paraId="5CB1B327">
        <w:tblPrEx>
          <w:tblBorders>
            <w:top w:val="none" w:color="auto" w:sz="0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" w:hRule="atLeast"/>
        </w:trPr>
        <w:tc>
          <w:tcPr>
            <w:tcW w:w="80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FD19F7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7F4BBC"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6月26日</w:t>
            </w:r>
          </w:p>
          <w:p w14:paraId="01D31EA0">
            <w:pPr>
              <w:widowControl/>
              <w:spacing w:line="360" w:lineRule="auto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10:15-11:15</w:t>
            </w:r>
          </w:p>
        </w:tc>
        <w:tc>
          <w:tcPr>
            <w:tcW w:w="2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3D7ECA">
            <w:pPr>
              <w:widowControl/>
              <w:spacing w:line="360" w:lineRule="auto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  <w:t>适航审定助力低空经济高质量发展</w:t>
            </w:r>
          </w:p>
        </w:tc>
        <w:tc>
          <w:tcPr>
            <w:tcW w:w="3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02EC47">
            <w:pPr>
              <w:widowControl/>
              <w:spacing w:line="360" w:lineRule="auto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  <w:t>介绍适航审定相关政策、规则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592FF5AE">
            <w:pPr>
              <w:widowControl/>
              <w:spacing w:line="360" w:lineRule="auto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  <w:t>指控学会推荐</w:t>
            </w:r>
          </w:p>
        </w:tc>
      </w:tr>
      <w:tr w14:paraId="1B03558E">
        <w:tblPrEx>
          <w:tblBorders>
            <w:top w:val="none" w:color="auto" w:sz="0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6" w:hRule="atLeast"/>
        </w:trPr>
        <w:tc>
          <w:tcPr>
            <w:tcW w:w="80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BA03D7"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43348E"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月2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日</w:t>
            </w:r>
          </w:p>
          <w:p w14:paraId="266797CF">
            <w:pPr>
              <w:widowControl/>
              <w:spacing w:line="360" w:lineRule="auto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: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15-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: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15</w:t>
            </w:r>
          </w:p>
        </w:tc>
        <w:tc>
          <w:tcPr>
            <w:tcW w:w="2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8BF513">
            <w:pPr>
              <w:widowControl/>
              <w:spacing w:line="360" w:lineRule="auto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  <w:t>低空经济发展的策略与实践</w:t>
            </w:r>
          </w:p>
        </w:tc>
        <w:tc>
          <w:tcPr>
            <w:tcW w:w="3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49A56B">
            <w:pPr>
              <w:widowControl/>
              <w:spacing w:line="360" w:lineRule="auto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  <w:t>北京大兴国际机场临空经济区发展低空经济的策略与实践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1BE7ECAD">
            <w:pPr>
              <w:widowControl/>
              <w:spacing w:line="360" w:lineRule="auto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大兴临空区</w:t>
            </w:r>
          </w:p>
        </w:tc>
      </w:tr>
      <w:tr w14:paraId="2951F439">
        <w:tblPrEx>
          <w:tblBorders>
            <w:top w:val="none" w:color="auto" w:sz="0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6" w:hRule="atLeast"/>
        </w:trPr>
        <w:tc>
          <w:tcPr>
            <w:tcW w:w="80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30D765"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7BD279"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月2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日</w:t>
            </w:r>
          </w:p>
          <w:p w14:paraId="1EDB3B98"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: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: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0</w:t>
            </w:r>
          </w:p>
        </w:tc>
        <w:tc>
          <w:tcPr>
            <w:tcW w:w="2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BD4376">
            <w:pPr>
              <w:widowControl/>
              <w:spacing w:line="360" w:lineRule="auto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科创债融资实务</w:t>
            </w:r>
          </w:p>
        </w:tc>
        <w:tc>
          <w:tcPr>
            <w:tcW w:w="3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22DCFB"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科创债最新发行情况、审核要点及</w:t>
            </w:r>
          </w:p>
          <w:p w14:paraId="6903B0BB">
            <w:pPr>
              <w:widowControl/>
              <w:spacing w:line="360" w:lineRule="auto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企业发行科创债注意事项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73BE56CE">
            <w:pPr>
              <w:widowControl/>
              <w:spacing w:line="360" w:lineRule="auto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上交所</w:t>
            </w:r>
          </w:p>
        </w:tc>
      </w:tr>
      <w:tr w14:paraId="52C0A913">
        <w:tblPrEx>
          <w:tblBorders>
            <w:top w:val="none" w:color="auto" w:sz="0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6" w:hRule="atLeast"/>
        </w:trPr>
        <w:tc>
          <w:tcPr>
            <w:tcW w:w="80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139973">
            <w:pPr>
              <w:widowControl/>
              <w:spacing w:line="360" w:lineRule="auto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23B597"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6月26日</w:t>
            </w:r>
          </w:p>
          <w:p w14:paraId="302278FC"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15:00-16:30</w:t>
            </w:r>
          </w:p>
        </w:tc>
        <w:tc>
          <w:tcPr>
            <w:tcW w:w="2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AA37C0"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  <w:t>我国股权市场融资实务介绍</w:t>
            </w:r>
          </w:p>
        </w:tc>
        <w:tc>
          <w:tcPr>
            <w:tcW w:w="3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8FDB66"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  <w:t>介绍A股上市需要准备的财务、法律、业务等工作与案例，H股上市基本情况、上市条件及工作流程、并购业务介绍及需重点关注的工作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3B84320E"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证券公司</w:t>
            </w:r>
          </w:p>
        </w:tc>
      </w:tr>
      <w:tr w14:paraId="60E73F32">
        <w:tblPrEx>
          <w:tblBorders>
            <w:top w:val="none" w:color="auto" w:sz="0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6" w:hRule="atLeast"/>
        </w:trPr>
        <w:tc>
          <w:tcPr>
            <w:tcW w:w="80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D64B9B">
            <w:pPr>
              <w:widowControl/>
              <w:spacing w:line="360" w:lineRule="auto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5EBE00"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6月26日</w:t>
            </w:r>
          </w:p>
          <w:p w14:paraId="6A7DAC0C"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16:30-17:30</w:t>
            </w:r>
          </w:p>
        </w:tc>
        <w:tc>
          <w:tcPr>
            <w:tcW w:w="2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D7B21A"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企业股权融资实务</w:t>
            </w:r>
          </w:p>
        </w:tc>
        <w:tc>
          <w:tcPr>
            <w:tcW w:w="3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44D1ED"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从企业角度介绍股权融资准备工作、战略投资者引入、IPO及并购实务经验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40BE1B37"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私募基金</w:t>
            </w:r>
          </w:p>
        </w:tc>
      </w:tr>
    </w:tbl>
    <w:p w14:paraId="30984990">
      <w:pPr>
        <w:adjustRightInd w:val="0"/>
        <w:snapToGrid w:val="0"/>
        <w:rPr>
          <w:rFonts w:hint="eastAsia" w:ascii="仿宋_GB2312" w:hAnsi="楷体" w:eastAsia="仿宋_GB2312" w:cs="宋体"/>
          <w:sz w:val="24"/>
          <w:szCs w:val="28"/>
          <w:lang w:val="en-US" w:eastAsia="zh-CN"/>
        </w:rPr>
      </w:pPr>
    </w:p>
    <w:p w14:paraId="3A283620">
      <w:pPr>
        <w:adjustRightInd w:val="0"/>
        <w:snapToGrid w:val="0"/>
        <w:rPr>
          <w:rFonts w:ascii="仿宋_GB2312" w:hAnsi="楷体" w:eastAsia="仿宋_GB2312" w:cs="宋体"/>
          <w:sz w:val="24"/>
          <w:szCs w:val="28"/>
        </w:rPr>
      </w:pPr>
    </w:p>
    <w:p w14:paraId="7735152F">
      <w:pPr>
        <w:adjustRightInd w:val="0"/>
        <w:snapToGrid w:val="0"/>
        <w:rPr>
          <w:rFonts w:ascii="仿宋_GB2312" w:hAnsi="楷体" w:eastAsia="仿宋_GB2312" w:cs="宋体"/>
          <w:sz w:val="24"/>
          <w:szCs w:val="28"/>
        </w:rPr>
      </w:pPr>
      <w:r>
        <w:rPr>
          <w:rFonts w:hint="eastAsia" w:ascii="仿宋_GB2312" w:hAnsi="楷体" w:eastAsia="仿宋_GB2312" w:cs="宋体"/>
          <w:sz w:val="24"/>
          <w:szCs w:val="28"/>
        </w:rPr>
        <w:t>注：具体课程安排请以培训时课表为准</w:t>
      </w:r>
      <w:r>
        <w:rPr>
          <w:rFonts w:hint="eastAsia" w:ascii="仿宋_GB2312" w:hAnsi="楷体" w:eastAsia="仿宋_GB2312" w:cs="宋体"/>
          <w:sz w:val="24"/>
          <w:szCs w:val="28"/>
          <w:lang w:eastAsia="zh-CN"/>
        </w:rPr>
        <w:t>。</w:t>
      </w:r>
      <w:r>
        <w:rPr>
          <w:rFonts w:hint="eastAsia" w:ascii="仿宋_GB2312" w:hAnsi="楷体" w:eastAsia="仿宋_GB2312" w:cs="宋体"/>
          <w:sz w:val="24"/>
          <w:szCs w:val="28"/>
        </w:rPr>
        <w:t>培训期间请携带学员证，并妥善保管，凭学员证出入会场。</w:t>
      </w:r>
    </w:p>
    <w:p w14:paraId="0D92394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2A3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Office_12.8.2.19309_F1E327BC-269C-435d-A152-05C5408002CA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2025-06-16T02:26:54Z</dcterms:created>
  <dc:creator>taozhao</dc:creator>
  <cp:lastModifiedBy>taozhao</cp:lastModifiedBy>
  <dcterms:modified xsi:type="dcterms:W3CDTF">2025-06-16T02:27:07Z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2052-12.8.2.19309</vt:lpwstr>
  </property>
  <property fmtid="{D5CDD505-2E9C-101B-9397-08002B2CF9AE}" pid="3" name="ICV">
    <vt:lpwstr>457A1AFC11E744669F3F92263D166EA4_12</vt:lpwstr>
  </property>
</Properties>
</file>