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EBE788">
      <w:pPr>
        <w:widowControl/>
        <w:snapToGrid w:val="0"/>
        <w:spacing w:line="500" w:lineRule="exact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上交所期权策略顾问（初级班）培训</w:t>
      </w:r>
    </w:p>
    <w:p w14:paraId="51185C15">
      <w:pPr>
        <w:widowControl/>
        <w:snapToGrid w:val="0"/>
        <w:spacing w:line="500" w:lineRule="exact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课程表</w:t>
      </w:r>
    </w:p>
    <w:tbl>
      <w:tblPr>
        <w:tblStyle w:val="3"/>
        <w:tblpPr w:leftFromText="180" w:rightFromText="180" w:vertAnchor="text" w:horzAnchor="page" w:tblpX="1786" w:tblpY="255"/>
        <w:tblOverlap w:val="never"/>
        <w:tblW w:w="5000" w:type="pct"/>
        <w:tblInd w:w="0" w:type="dxa"/>
        <w:tblBorders>
          <w:top w:val="single" w:color="84B4DF" w:themeColor="accent1" w:themeTint="BF" w:sz="8" w:space="0"/>
          <w:left w:val="single" w:color="84B4DF" w:themeColor="accent1" w:themeTint="BF" w:sz="8" w:space="0"/>
          <w:bottom w:val="single" w:color="84B4DF" w:themeColor="accent1" w:themeTint="BF" w:sz="8" w:space="0"/>
          <w:right w:val="single" w:color="84B4DF" w:themeColor="accent1" w:themeTint="BF" w:sz="8" w:space="0"/>
          <w:insideH w:val="single" w:color="84B4DF" w:themeColor="accent1" w:themeTint="BF" w:sz="8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07C5D244">
        <w:tblPrEx>
          <w:tblBorders>
            <w:top w:val="single" w:color="84B4DF" w:themeColor="accent1" w:themeTint="BF" w:sz="8" w:space="0"/>
            <w:left w:val="single" w:color="84B4DF" w:themeColor="accent1" w:themeTint="BF" w:sz="8" w:space="0"/>
            <w:bottom w:val="single" w:color="84B4DF" w:themeColor="accent1" w:themeTint="BF" w:sz="8" w:space="0"/>
            <w:right w:val="single" w:color="84B4DF" w:themeColor="accent1" w:themeTint="BF" w:sz="8" w:space="0"/>
            <w:insideH w:val="single" w:color="84B4DF" w:themeColor="accent1" w:themeTint="BF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000" w:type="pct"/>
            <w:gridSpan w:val="2"/>
            <w:tcBorders>
              <w:top w:val="single" w:color="4F81BD" w:sz="8" w:space="0"/>
              <w:left w:val="single" w:color="4F81BD" w:sz="8" w:space="0"/>
              <w:bottom w:val="single" w:color="FFFFFF" w:sz="18" w:space="0"/>
              <w:right w:val="nil"/>
              <w:insideV w:val="nil"/>
            </w:tcBorders>
            <w:shd w:val="clear" w:color="auto" w:fill="4F81BD"/>
            <w:vAlign w:val="center"/>
          </w:tcPr>
          <w:p w14:paraId="72F5C6FB">
            <w:pPr>
              <w:adjustRightInd w:val="0"/>
              <w:snapToGrid w:val="0"/>
              <w:spacing w:before="0" w:after="0" w:line="240" w:lineRule="auto"/>
              <w:jc w:val="center"/>
              <w:rPr>
                <w:rFonts w:hint="eastAsia" w:ascii="楷体" w:hAnsi="楷体" w:eastAsia="楷体" w:cs="宋体"/>
                <w:b w:val="0"/>
                <w:bCs w:val="0"/>
                <w:color w:val="FFFFFF"/>
                <w:sz w:val="24"/>
                <w:lang w:eastAsia="zh-CN"/>
              </w:rPr>
            </w:pPr>
            <w:r>
              <w:rPr>
                <w:rFonts w:hint="eastAsia" w:ascii="楷体" w:hAnsi="楷体" w:eastAsia="楷体" w:cs="宋体"/>
                <w:b/>
                <w:bCs/>
                <w:color w:val="FFFFFF"/>
                <w:sz w:val="32"/>
                <w:szCs w:val="28"/>
                <w:lang w:eastAsia="zh-CN"/>
              </w:rPr>
              <w:t>课程表</w:t>
            </w:r>
          </w:p>
        </w:tc>
      </w:tr>
      <w:tr w14:paraId="43DD34CA">
        <w:tblPrEx>
          <w:tblBorders>
            <w:top w:val="single" w:color="84B4DF" w:themeColor="accent1" w:themeTint="BF" w:sz="8" w:space="0"/>
            <w:left w:val="single" w:color="84B4DF" w:themeColor="accent1" w:themeTint="BF" w:sz="8" w:space="0"/>
            <w:bottom w:val="single" w:color="84B4DF" w:themeColor="accent1" w:themeTint="BF" w:sz="8" w:space="0"/>
            <w:right w:val="single" w:color="84B4DF" w:themeColor="accent1" w:themeTint="BF" w:sz="8" w:space="0"/>
            <w:insideH w:val="single" w:color="84B4DF" w:themeColor="accent1" w:themeTint="BF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exact"/>
        </w:trPr>
        <w:tc>
          <w:tcPr>
            <w:tcW w:w="2500" w:type="pct"/>
            <w:tcBorders>
              <w:top w:val="single" w:color="FFFFFF" w:sz="1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 w14:paraId="1D0237D8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  <w:t>第一讲</w:t>
            </w:r>
          </w:p>
        </w:tc>
        <w:tc>
          <w:tcPr>
            <w:tcW w:w="2500" w:type="pct"/>
            <w:tcBorders>
              <w:top w:val="single" w:color="FFFFFF" w:sz="1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 w14:paraId="30B0AF4B">
            <w:pPr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</w:p>
          <w:p w14:paraId="0B58EE98">
            <w:pPr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  <w:t>期权的基础知识</w:t>
            </w:r>
          </w:p>
          <w:p w14:paraId="2885F9E9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6E85497A">
        <w:tblPrEx>
          <w:tblBorders>
            <w:top w:val="single" w:color="84B4DF" w:themeColor="accent1" w:themeTint="BF" w:sz="8" w:space="0"/>
            <w:left w:val="single" w:color="84B4DF" w:themeColor="accent1" w:themeTint="BF" w:sz="8" w:space="0"/>
            <w:bottom w:val="single" w:color="84B4DF" w:themeColor="accent1" w:themeTint="BF" w:sz="8" w:space="0"/>
            <w:right w:val="single" w:color="84B4DF" w:themeColor="accent1" w:themeTint="BF" w:sz="8" w:space="0"/>
            <w:insideH w:val="single" w:color="84B4DF" w:themeColor="accent1" w:themeTint="BF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7" w:hRule="exact"/>
        </w:trPr>
        <w:tc>
          <w:tcPr>
            <w:tcW w:w="2500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 w14:paraId="229DE93A"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  <w:t>第二讲</w:t>
            </w:r>
          </w:p>
        </w:tc>
        <w:tc>
          <w:tcPr>
            <w:tcW w:w="2500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 w14:paraId="43FBEA91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Cs w:val="21"/>
                <w:lang w:eastAsia="zh-CN"/>
              </w:rPr>
              <w:t>期权基础交易权限</w:t>
            </w:r>
            <w:bookmarkStart w:id="0" w:name="_GoBack"/>
            <w:bookmarkEnd w:id="0"/>
            <w:r>
              <w:rPr>
                <w:rFonts w:hint="eastAsia" w:ascii="宋体" w:hAnsi="宋体" w:cs="宋体"/>
                <w:b/>
                <w:bCs/>
                <w:color w:val="000000"/>
                <w:szCs w:val="21"/>
                <w:lang w:eastAsia="zh-CN"/>
              </w:rPr>
              <w:t>（一级投资者）</w:t>
            </w:r>
          </w:p>
        </w:tc>
      </w:tr>
      <w:tr w14:paraId="5766D338">
        <w:tblPrEx>
          <w:tblBorders>
            <w:top w:val="single" w:color="84B4DF" w:themeColor="accent1" w:themeTint="BF" w:sz="8" w:space="0"/>
            <w:left w:val="single" w:color="84B4DF" w:themeColor="accent1" w:themeTint="BF" w:sz="8" w:space="0"/>
            <w:bottom w:val="single" w:color="84B4DF" w:themeColor="accent1" w:themeTint="BF" w:sz="8" w:space="0"/>
            <w:right w:val="single" w:color="84B4DF" w:themeColor="accent1" w:themeTint="BF" w:sz="8" w:space="0"/>
            <w:insideH w:val="single" w:color="84B4DF" w:themeColor="accent1" w:themeTint="BF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6" w:hRule="exact"/>
        </w:trPr>
        <w:tc>
          <w:tcPr>
            <w:tcW w:w="2500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 w14:paraId="78039C8D"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  <w:t>第三讲</w:t>
            </w:r>
          </w:p>
        </w:tc>
        <w:tc>
          <w:tcPr>
            <w:tcW w:w="2500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 w14:paraId="6F1DFC48">
            <w:pPr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Cs w:val="21"/>
                <w:lang w:eastAsia="zh-CN"/>
              </w:rPr>
              <w:t>期权进阶交易权限（二级投资者）</w:t>
            </w:r>
          </w:p>
        </w:tc>
      </w:tr>
      <w:tr w14:paraId="39076E76">
        <w:tblPrEx>
          <w:tblBorders>
            <w:top w:val="single" w:color="84B4DF" w:themeColor="accent1" w:themeTint="BF" w:sz="8" w:space="0"/>
            <w:left w:val="single" w:color="84B4DF" w:themeColor="accent1" w:themeTint="BF" w:sz="8" w:space="0"/>
            <w:bottom w:val="single" w:color="84B4DF" w:themeColor="accent1" w:themeTint="BF" w:sz="8" w:space="0"/>
            <w:right w:val="single" w:color="84B4DF" w:themeColor="accent1" w:themeTint="BF" w:sz="8" w:space="0"/>
            <w:insideH w:val="single" w:color="84B4DF" w:themeColor="accent1" w:themeTint="BF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exact"/>
        </w:trPr>
        <w:tc>
          <w:tcPr>
            <w:tcW w:w="2500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 w14:paraId="6E12A07B"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  <w:t>第四讲</w:t>
            </w:r>
          </w:p>
        </w:tc>
        <w:tc>
          <w:tcPr>
            <w:tcW w:w="2500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 w14:paraId="0BF11DB2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Cs w:val="21"/>
                <w:lang w:eastAsia="zh-CN"/>
              </w:rPr>
              <w:t>期权高级交易权限（三级投资者）</w:t>
            </w:r>
          </w:p>
        </w:tc>
      </w:tr>
      <w:tr w14:paraId="5AD9C7C9">
        <w:tblPrEx>
          <w:tblBorders>
            <w:top w:val="single" w:color="84B4DF" w:themeColor="accent1" w:themeTint="BF" w:sz="8" w:space="0"/>
            <w:left w:val="single" w:color="84B4DF" w:themeColor="accent1" w:themeTint="BF" w:sz="8" w:space="0"/>
            <w:bottom w:val="single" w:color="84B4DF" w:themeColor="accent1" w:themeTint="BF" w:sz="8" w:space="0"/>
            <w:right w:val="single" w:color="84B4DF" w:themeColor="accent1" w:themeTint="BF" w:sz="8" w:space="0"/>
            <w:insideH w:val="single" w:color="84B4DF" w:themeColor="accent1" w:themeTint="BF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exact"/>
        </w:trPr>
        <w:tc>
          <w:tcPr>
            <w:tcW w:w="2500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 w14:paraId="04ED9296"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  <w:t>第五讲</w:t>
            </w:r>
          </w:p>
        </w:tc>
        <w:tc>
          <w:tcPr>
            <w:tcW w:w="2500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 w14:paraId="31693700">
            <w:pPr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Cs w:val="21"/>
                <w:lang w:eastAsia="zh-CN"/>
              </w:rPr>
              <w:t>期权</w:t>
            </w:r>
            <w:r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  <w:t>行权交收</w:t>
            </w:r>
            <w:r>
              <w:rPr>
                <w:rFonts w:hint="eastAsia" w:ascii="宋体" w:hAnsi="宋体" w:cs="宋体"/>
                <w:b/>
                <w:bCs/>
                <w:color w:val="000000"/>
                <w:szCs w:val="21"/>
                <w:lang w:eastAsia="zh-CN"/>
              </w:rPr>
              <w:t>与</w:t>
            </w:r>
            <w:r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  <w:t>限仓限购制度</w:t>
            </w:r>
          </w:p>
        </w:tc>
      </w:tr>
      <w:tr w14:paraId="616CCD79">
        <w:tblPrEx>
          <w:tblBorders>
            <w:top w:val="single" w:color="84B4DF" w:themeColor="accent1" w:themeTint="BF" w:sz="8" w:space="0"/>
            <w:left w:val="single" w:color="84B4DF" w:themeColor="accent1" w:themeTint="BF" w:sz="8" w:space="0"/>
            <w:bottom w:val="single" w:color="84B4DF" w:themeColor="accent1" w:themeTint="BF" w:sz="8" w:space="0"/>
            <w:right w:val="single" w:color="84B4DF" w:themeColor="accent1" w:themeTint="BF" w:sz="8" w:space="0"/>
            <w:insideH w:val="single" w:color="84B4DF" w:themeColor="accent1" w:themeTint="BF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1" w:hRule="exact"/>
        </w:trPr>
        <w:tc>
          <w:tcPr>
            <w:tcW w:w="2500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 w14:paraId="5B63A8B8"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  <w:t>第六讲</w:t>
            </w:r>
          </w:p>
        </w:tc>
        <w:tc>
          <w:tcPr>
            <w:tcW w:w="2500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 w14:paraId="4C4A002E">
            <w:pPr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  <w:t>股票期权发展现状与实践案例</w:t>
            </w:r>
          </w:p>
        </w:tc>
      </w:tr>
    </w:tbl>
    <w:p w14:paraId="3A390AE7">
      <w:pPr>
        <w:adjustRightInd w:val="0"/>
        <w:snapToGrid w:val="0"/>
        <w:rPr>
          <w:rFonts w:ascii="Times New Roman" w:hAnsi="Times New Roman" w:eastAsia="仿宋_GB2312" w:cs="Times New Roman"/>
          <w:b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</w:p>
    <w:p w14:paraId="524E3805">
      <w:pPr>
        <w:adjustRightInd w:val="0"/>
        <w:snapToGrid w:val="0"/>
        <w:rPr>
          <w:rFonts w:ascii="楷体" w:hAnsi="楷体" w:eastAsia="楷体" w:cs="宋体"/>
          <w:sz w:val="24"/>
        </w:rPr>
      </w:pPr>
      <w:r>
        <w:rPr>
          <w:rFonts w:hint="eastAsia" w:ascii="楷体" w:hAnsi="楷体" w:eastAsia="楷体" w:cs="宋体"/>
          <w:sz w:val="24"/>
        </w:rPr>
        <w:t>以培训时课程表为准。</w:t>
      </w:r>
    </w:p>
    <w:p w14:paraId="49ED3BC3">
      <w:pPr>
        <w:rPr>
          <w:rFonts w:hint="eastAsia" w:ascii="仿宋_GB2312" w:hAnsi="仿宋_GB2312" w:eastAsia="仿宋_GB2312" w:cs="仿宋_GB2312"/>
          <w:sz w:val="30"/>
          <w:szCs w:val="30"/>
        </w:rPr>
      </w:pPr>
    </w:p>
    <w:p w14:paraId="3A0650FD">
      <w:pPr>
        <w:rPr>
          <w:rFonts w:hint="eastAsia" w:ascii="仿宋_GB2312" w:hAnsi="仿宋_GB2312" w:eastAsia="仿宋_GB2312" w:cs="仿宋_GB2312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00500000000000000"/>
    <w:charset w:val="86"/>
    <w:family w:val="modern"/>
    <w:pitch w:val="default"/>
    <w:sig w:usb0="A00002BF" w:usb1="584F6CFA" w:usb2="00000012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6D61AF"/>
    <w:rsid w:val="0D3176C8"/>
    <w:rsid w:val="0F9F9B6B"/>
    <w:rsid w:val="116D61AF"/>
    <w:rsid w:val="4BF6F1AB"/>
    <w:rsid w:val="5D7FB34E"/>
    <w:rsid w:val="7DB9860F"/>
    <w:rsid w:val="7EBFD4A3"/>
    <w:rsid w:val="DDF7D88D"/>
    <w:rsid w:val="E6FF6264"/>
    <w:rsid w:val="EFA3999C"/>
    <w:rsid w:val="F5FF2A49"/>
    <w:rsid w:val="F9FD0CF7"/>
    <w:rsid w:val="FD9E8564"/>
    <w:rsid w:val="FED79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qFormat="1"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Medium Shading 1 Accent 1"/>
    <w:basedOn w:val="2"/>
    <w:qFormat/>
    <w:uiPriority w:val="63"/>
    <w:tblPr>
      <w:tblBorders>
        <w:top w:val="single" w:color="84B4DF" w:themeColor="accent1" w:themeTint="BF" w:sz="8" w:space="0"/>
        <w:left w:val="single" w:color="84B4DF" w:themeColor="accent1" w:themeTint="BF" w:sz="8" w:space="0"/>
        <w:bottom w:val="single" w:color="84B4DF" w:themeColor="accent1" w:themeTint="BF" w:sz="8" w:space="0"/>
        <w:right w:val="single" w:color="84B4DF" w:themeColor="accent1" w:themeTint="BF" w:sz="8" w:space="0"/>
        <w:insideH w:val="single" w:color="84B4DF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84B4DF" w:themeColor="accent1" w:themeTint="BF" w:sz="8" w:space="0"/>
          <w:left w:val="single" w:color="84B4DF" w:themeColor="accent1" w:themeTint="BF" w:sz="8" w:space="0"/>
          <w:bottom w:val="single" w:color="84B4DF" w:themeColor="accent1" w:themeTint="BF" w:sz="8" w:space="0"/>
          <w:right w:val="single" w:color="84B4DF" w:themeColor="accent1" w:themeTint="BF" w:sz="8" w:space="0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4B4DF" w:themeColor="accent1" w:themeTint="BF" w:sz="6" w:space="0"/>
          <w:left w:val="single" w:color="84B4DF" w:themeColor="accent1" w:themeTint="BF" w:sz="8" w:space="0"/>
          <w:bottom w:val="single" w:color="84B4DF" w:themeColor="accent1" w:themeTint="BF" w:sz="8" w:space="0"/>
          <w:right w:val="single" w:color="84B4DF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424</Words>
  <Characters>428</Characters>
  <Lines>0</Lines>
  <Paragraphs>0</Paragraphs>
  <TotalTime>3</TotalTime>
  <ScaleCrop>false</ScaleCrop>
  <LinksUpToDate>false</LinksUpToDate>
  <CharactersWithSpaces>429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2024-06-04T08:35:00Z</dcterms:created>
  <dc:creator>ytzhou</dc:creator>
  <cp:lastModifiedBy>ypyang</cp:lastModifiedBy>
  <dcterms:modified xsi:type="dcterms:W3CDTF">2026-08-24T15:00:58Z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54896302987426A3102C3969B5589F8A_43</vt:lpwstr>
  </property>
</Properties>
</file>