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4F0BF">
      <w:pPr>
        <w:widowControl/>
        <w:snapToGrid w:val="0"/>
        <w:spacing w:line="500" w:lineRule="exact"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/>
          <w:bCs/>
          <w:kern w:val="44"/>
          <w:sz w:val="30"/>
          <w:szCs w:val="30"/>
        </w:rPr>
        <w:t>附件1：</w:t>
      </w:r>
    </w:p>
    <w:p w14:paraId="34EFB2D4">
      <w:pPr>
        <w:jc w:val="center"/>
        <w:rPr>
          <w:rFonts w:hint="eastAsia" w:ascii="Times New Roman" w:hAnsi="Times New Roman" w:eastAsia="黑体"/>
          <w:bCs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/>
          <w:bCs/>
          <w:kern w:val="0"/>
          <w:sz w:val="30"/>
          <w:szCs w:val="30"/>
          <w:lang w:val="en-US" w:eastAsia="zh-CN"/>
        </w:rPr>
        <w:t>践行三投资理念，促进高质量发展</w:t>
      </w:r>
    </w:p>
    <w:p w14:paraId="40758C8D">
      <w:pPr>
        <w:jc w:val="center"/>
        <w:rPr>
          <w:rFonts w:hint="eastAsia" w:ascii="Times New Roman" w:hAnsi="Times New Roman" w:eastAsia="黑体"/>
          <w:bCs/>
          <w:kern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/>
          <w:bCs/>
          <w:kern w:val="0"/>
          <w:sz w:val="30"/>
          <w:szCs w:val="30"/>
          <w:lang w:val="en-US" w:eastAsia="zh-CN"/>
        </w:rPr>
        <w:t>上海证券交易所机构投资者服务东北行</w:t>
      </w:r>
    </w:p>
    <w:p w14:paraId="498F2AA4">
      <w:pPr>
        <w:jc w:val="center"/>
        <w:rPr>
          <w:rFonts w:ascii="Times New Roman" w:hAnsi="Times New Roman" w:eastAsia="黑体"/>
          <w:bCs/>
          <w:kern w:val="0"/>
          <w:sz w:val="30"/>
          <w:szCs w:val="30"/>
        </w:rPr>
      </w:pPr>
      <w:r>
        <w:rPr>
          <w:rFonts w:hint="eastAsia" w:ascii="Times New Roman" w:hAnsi="Times New Roman" w:eastAsia="黑体"/>
          <w:bCs/>
          <w:kern w:val="0"/>
          <w:sz w:val="30"/>
          <w:szCs w:val="30"/>
          <w:lang w:val="en-US" w:eastAsia="zh-CN"/>
        </w:rPr>
        <w:t>（长春站）培训</w:t>
      </w:r>
      <w:r>
        <w:rPr>
          <w:rFonts w:hint="eastAsia" w:ascii="Times New Roman" w:hAnsi="Times New Roman" w:eastAsia="黑体"/>
          <w:bCs/>
          <w:kern w:val="0"/>
          <w:sz w:val="30"/>
          <w:szCs w:val="30"/>
        </w:rPr>
        <w:t>课程表</w:t>
      </w:r>
    </w:p>
    <w:p w14:paraId="71E69235">
      <w:pPr>
        <w:jc w:val="left"/>
        <w:rPr>
          <w:rFonts w:hint="eastAsia" w:ascii="Times New Roman" w:hAnsi="Times New Roman" w:eastAsia="楷体" w:cs="宋体"/>
          <w:b/>
          <w:bCs/>
          <w:sz w:val="24"/>
        </w:rPr>
      </w:pPr>
    </w:p>
    <w:p w14:paraId="45F70111">
      <w:pPr>
        <w:jc w:val="left"/>
        <w:rPr>
          <w:rFonts w:hint="eastAsia" w:ascii="Times New Roman" w:hAnsi="Times New Roman" w:eastAsia="楷体" w:cs="宋体"/>
          <w:b w:val="0"/>
          <w:bCs w:val="0"/>
          <w:sz w:val="22"/>
          <w:szCs w:val="21"/>
        </w:rPr>
      </w:pPr>
      <w:r>
        <w:rPr>
          <w:rFonts w:hint="eastAsia" w:ascii="Times New Roman" w:hAnsi="Times New Roman" w:eastAsia="楷体" w:cs="宋体"/>
          <w:b/>
          <w:bCs/>
          <w:sz w:val="24"/>
        </w:rPr>
        <w:t>培训地点：</w:t>
      </w:r>
      <w:r>
        <w:rPr>
          <w:rFonts w:hint="eastAsia" w:ascii="Times New Roman" w:hAnsi="Times New Roman" w:eastAsia="楷体" w:cs="宋体"/>
          <w:b/>
          <w:bCs/>
          <w:sz w:val="24"/>
          <w:lang w:val="en-US" w:eastAsia="zh-CN"/>
        </w:rPr>
        <w:t>长春富力万达文华酒店三楼宴会厅（长春市朝阳区红旗街1083号)</w:t>
      </w:r>
    </w:p>
    <w:tbl>
      <w:tblPr>
        <w:tblStyle w:val="6"/>
        <w:tblpPr w:leftFromText="180" w:rightFromText="180" w:vertAnchor="text" w:horzAnchor="page" w:tblpX="1450" w:tblpY="109"/>
        <w:tblOverlap w:val="never"/>
        <w:tblW w:w="5488" w:type="pct"/>
        <w:tblInd w:w="0" w:type="dxa"/>
        <w:tblBorders>
          <w:top w:val="single" w:color="9CC2E5" w:sz="4" w:space="0"/>
          <w:left w:val="single" w:color="9CC2E5" w:sz="4" w:space="0"/>
          <w:bottom w:val="single" w:color="9CC2E5" w:sz="4" w:space="0"/>
          <w:right w:val="single" w:color="9CC2E5" w:sz="4" w:space="0"/>
          <w:insideH w:val="single" w:color="9CC2E5" w:sz="4" w:space="0"/>
          <w:insideV w:val="single" w:color="9CC2E5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510"/>
        <w:gridCol w:w="4725"/>
        <w:gridCol w:w="1722"/>
      </w:tblGrid>
      <w:tr w14:paraId="09D26732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53" w:type="pct"/>
            <w:gridSpan w:val="2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nil"/>
            </w:tcBorders>
            <w:shd w:val="clear" w:color="auto" w:fill="4F81BD"/>
          </w:tcPr>
          <w:p w14:paraId="243F9529">
            <w:pPr>
              <w:jc w:val="center"/>
              <w:rPr>
                <w:rFonts w:ascii="Times New Roman" w:hAnsi="Times New Roman" w:eastAsia="仿宋_GB2312"/>
                <w:b/>
                <w:color w:val="FFFFFF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FFFFFF"/>
                <w:kern w:val="0"/>
                <w:sz w:val="28"/>
                <w:szCs w:val="28"/>
              </w:rPr>
              <w:t>培训日程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nil"/>
            </w:tcBorders>
            <w:shd w:val="clear" w:color="auto" w:fill="4F81BD"/>
          </w:tcPr>
          <w:p w14:paraId="7BB80466">
            <w:pPr>
              <w:jc w:val="center"/>
              <w:rPr>
                <w:rFonts w:ascii="Times New Roman" w:hAnsi="Times New Roman" w:eastAsia="仿宋_GB2312"/>
                <w:b/>
                <w:color w:val="FFFFFF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FFFFFF"/>
                <w:kern w:val="0"/>
                <w:sz w:val="28"/>
                <w:szCs w:val="28"/>
              </w:rPr>
              <w:t>具体环节课程安排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nil"/>
            </w:tcBorders>
            <w:shd w:val="clear" w:color="auto" w:fill="4F81BD"/>
          </w:tcPr>
          <w:p w14:paraId="39177AF3">
            <w:pPr>
              <w:jc w:val="center"/>
              <w:rPr>
                <w:rFonts w:ascii="Times New Roman" w:hAnsi="Times New Roman" w:eastAsia="仿宋_GB2312"/>
                <w:b/>
                <w:bCs/>
                <w:color w:val="FFFFFF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FFFFFF"/>
                <w:kern w:val="0"/>
                <w:sz w:val="28"/>
                <w:szCs w:val="28"/>
              </w:rPr>
              <w:t>授课师资</w:t>
            </w:r>
          </w:p>
        </w:tc>
      </w:tr>
      <w:tr w14:paraId="4850868B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46" w:type="pct"/>
            <w:vMerge w:val="restar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5FA61BF9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2026年</w:t>
            </w:r>
          </w:p>
          <w:p w14:paraId="5F44C2AF">
            <w:pPr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23</w:t>
            </w: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日</w:t>
            </w:r>
          </w:p>
          <w:p w14:paraId="791BA090">
            <w:pPr>
              <w:pStyle w:val="2"/>
              <w:ind w:left="0" w:leftChars="0" w:firstLine="0" w:firstLineChars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周四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796C0FE4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</w:rPr>
              <w:t>9:30-</w:t>
            </w:r>
            <w:r>
              <w:rPr>
                <w:rFonts w:hint="eastAsia" w:ascii="Times New Roman" w:hAnsi="Times New Roman" w:eastAsia="仿宋"/>
                <w:sz w:val="24"/>
              </w:rPr>
              <w:t>9:45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27041568">
            <w:pPr>
              <w:pStyle w:val="9"/>
              <w:spacing w:before="0" w:beforeAutospacing="0" w:after="0" w:line="320" w:lineRule="exact"/>
              <w:ind w:left="0" w:leftChars="0" w:firstLine="0" w:firstLineChars="0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开班、致辞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229ADC39"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各主办单位</w:t>
            </w:r>
          </w:p>
        </w:tc>
      </w:tr>
      <w:tr w14:paraId="3F60E00F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46" w:type="pct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415951C3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525873B4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9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</w:rPr>
              <w:t>45</w:t>
            </w:r>
            <w:r>
              <w:rPr>
                <w:rFonts w:ascii="Times New Roman" w:hAnsi="Times New Roman" w:eastAsia="仿宋"/>
                <w:sz w:val="24"/>
              </w:rPr>
              <w:t>-1</w:t>
            </w:r>
            <w:r>
              <w:rPr>
                <w:rFonts w:hint="eastAsia" w:ascii="Times New Roman" w:hAnsi="Times New Roman" w:eastAsia="仿宋"/>
                <w:sz w:val="24"/>
              </w:rPr>
              <w:t>0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</w:rPr>
              <w:t>45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3C29EB07">
            <w:pPr>
              <w:pStyle w:val="5"/>
              <w:widowControl/>
              <w:spacing w:beforeAutospacing="0" w:afterAutospacing="0" w:line="400" w:lineRule="exact"/>
              <w:ind w:left="1928" w:hanging="1928" w:hangingChars="800"/>
              <w:jc w:val="both"/>
              <w:rPr>
                <w:rFonts w:ascii="Times New Roman" w:hAnsi="Times New Roman" w:eastAsia="仿宋"/>
                <w:b/>
                <w:bCs/>
                <w:kern w:val="2"/>
              </w:rPr>
            </w:pPr>
            <w:r>
              <w:rPr>
                <w:rFonts w:ascii="Times New Roman" w:hAnsi="Times New Roman" w:eastAsia="仿宋"/>
                <w:b/>
                <w:bCs/>
                <w:kern w:val="2"/>
              </w:rPr>
              <w:t>专题</w:t>
            </w:r>
            <w:r>
              <w:rPr>
                <w:rFonts w:hint="eastAsia" w:ascii="Times New Roman" w:hAnsi="Times New Roman" w:eastAsia="仿宋"/>
                <w:b/>
                <w:bCs/>
                <w:kern w:val="2"/>
              </w:rPr>
              <w:t>宣讲</w:t>
            </w:r>
            <w:r>
              <w:rPr>
                <w:rFonts w:ascii="Times New Roman" w:hAnsi="Times New Roman" w:eastAsia="仿宋"/>
                <w:b/>
                <w:bCs/>
                <w:kern w:val="2"/>
              </w:rPr>
              <w:t>：</w:t>
            </w:r>
          </w:p>
          <w:p w14:paraId="0D78A94E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高质量发展的中国资本市场</w:t>
            </w:r>
          </w:p>
          <w:p w14:paraId="10852040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  <w:t>2026年大类资产配置总结与展望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4D6FFF6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市场机构</w:t>
            </w:r>
          </w:p>
        </w:tc>
      </w:tr>
      <w:tr w14:paraId="75C971CB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746" w:type="pct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7310E14B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33C3BEAC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</w:rPr>
              <w:t>1</w:t>
            </w:r>
            <w:r>
              <w:rPr>
                <w:rFonts w:hint="eastAsia" w:ascii="Times New Roman" w:hAnsi="Times New Roman" w:eastAsia="仿宋"/>
                <w:sz w:val="24"/>
              </w:rPr>
              <w:t>1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</w:rPr>
              <w:t>0</w:t>
            </w:r>
            <w:r>
              <w:rPr>
                <w:rFonts w:ascii="Times New Roman" w:hAnsi="Times New Roman" w:eastAsia="仿宋"/>
                <w:sz w:val="24"/>
              </w:rPr>
              <w:t>0-1</w:t>
            </w:r>
            <w:r>
              <w:rPr>
                <w:rFonts w:hint="eastAsia" w:ascii="Times New Roman" w:hAnsi="Times New Roman" w:eastAsia="仿宋"/>
                <w:sz w:val="24"/>
              </w:rPr>
              <w:t>2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</w:rPr>
              <w:t>00</w:t>
            </w:r>
          </w:p>
        </w:tc>
        <w:tc>
          <w:tcPr>
            <w:tcW w:w="4725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47323DE1">
            <w:pPr>
              <w:pStyle w:val="5"/>
              <w:widowControl/>
              <w:spacing w:beforeAutospacing="0" w:afterAutospacing="0" w:line="400" w:lineRule="exact"/>
              <w:rPr>
                <w:rFonts w:ascii="Times New Roman" w:hAnsi="Times New Roman" w:eastAsia="仿宋"/>
                <w:b/>
                <w:bCs/>
                <w:kern w:val="2"/>
              </w:rPr>
            </w:pPr>
            <w:r>
              <w:rPr>
                <w:rFonts w:ascii="Times New Roman" w:hAnsi="Times New Roman" w:eastAsia="仿宋"/>
                <w:b/>
                <w:bCs/>
                <w:kern w:val="2"/>
              </w:rPr>
              <w:t>专题</w:t>
            </w:r>
            <w:r>
              <w:rPr>
                <w:rFonts w:hint="eastAsia" w:ascii="Times New Roman" w:hAnsi="Times New Roman" w:eastAsia="仿宋"/>
                <w:b/>
                <w:bCs/>
                <w:kern w:val="2"/>
              </w:rPr>
              <w:t>宣讲</w:t>
            </w:r>
            <w:r>
              <w:rPr>
                <w:rFonts w:ascii="Times New Roman" w:hAnsi="Times New Roman" w:eastAsia="仿宋"/>
                <w:b/>
                <w:bCs/>
                <w:kern w:val="2"/>
              </w:rPr>
              <w:t>：</w:t>
            </w:r>
          </w:p>
          <w:p w14:paraId="1E57524B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/>
              </w:rPr>
              <w:t>如何规避高风险投资</w:t>
            </w:r>
          </w:p>
          <w:p w14:paraId="41F644C5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  <w:t>A股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eastAsia="zh-CN"/>
              </w:rPr>
              <w:t>退市新规全面解析</w:t>
            </w:r>
          </w:p>
        </w:tc>
        <w:tc>
          <w:tcPr>
            <w:tcW w:w="172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235252C5">
            <w:pPr>
              <w:spacing w:line="32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上交所</w:t>
            </w:r>
          </w:p>
        </w:tc>
      </w:tr>
      <w:tr w14:paraId="768A7D94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746" w:type="pct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14:paraId="72244296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275AED97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13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00</w:t>
            </w:r>
            <w:r>
              <w:rPr>
                <w:rFonts w:ascii="Times New Roman" w:hAnsi="Times New Roman" w:eastAsia="仿宋"/>
                <w:sz w:val="24"/>
              </w:rPr>
              <w:t>-1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15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6307EF69">
            <w:pPr>
              <w:pStyle w:val="5"/>
              <w:widowControl/>
              <w:spacing w:beforeAutospacing="0" w:afterAutospacing="0" w:line="400" w:lineRule="exact"/>
              <w:rPr>
                <w:rFonts w:ascii="Times New Roman" w:hAnsi="Times New Roman" w:eastAsia="仿宋"/>
                <w:b/>
                <w:bCs/>
                <w:kern w:val="2"/>
              </w:rPr>
            </w:pPr>
            <w:r>
              <w:rPr>
                <w:rFonts w:ascii="Times New Roman" w:hAnsi="Times New Roman" w:eastAsia="仿宋"/>
                <w:b/>
                <w:bCs/>
                <w:kern w:val="2"/>
              </w:rPr>
              <w:t>专题</w:t>
            </w:r>
            <w:r>
              <w:rPr>
                <w:rFonts w:hint="eastAsia" w:ascii="Times New Roman" w:hAnsi="Times New Roman" w:eastAsia="仿宋"/>
                <w:b/>
                <w:bCs/>
                <w:kern w:val="2"/>
              </w:rPr>
              <w:t>宣讲</w:t>
            </w:r>
            <w:r>
              <w:rPr>
                <w:rFonts w:ascii="Times New Roman" w:hAnsi="Times New Roman" w:eastAsia="仿宋"/>
                <w:b/>
                <w:bCs/>
                <w:kern w:val="2"/>
              </w:rPr>
              <w:t>：</w:t>
            </w:r>
          </w:p>
          <w:p w14:paraId="6D73EE58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ETF投资一站式解决方案</w:t>
            </w:r>
          </w:p>
          <w:p w14:paraId="067D2035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——指数化投资前沿与实务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14:paraId="0DE9B3BE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中证指数公司</w:t>
            </w:r>
          </w:p>
        </w:tc>
      </w:tr>
      <w:tr w14:paraId="1C5EC308">
        <w:tblPrEx>
          <w:tblBorders>
            <w:top w:val="single" w:color="9CC2E5" w:sz="4" w:space="0"/>
            <w:left w:val="single" w:color="9CC2E5" w:sz="4" w:space="0"/>
            <w:bottom w:val="single" w:color="9CC2E5" w:sz="4" w:space="0"/>
            <w:right w:val="single" w:color="9CC2E5" w:sz="4" w:space="0"/>
            <w:insideH w:val="single" w:color="9CC2E5" w:sz="4" w:space="0"/>
            <w:insideV w:val="single" w:color="9CC2E5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746" w:type="pct"/>
            <w:vMerge w:val="continue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</w:tcPr>
          <w:p w14:paraId="43B888C2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05FEC19A">
            <w:pPr>
              <w:spacing w:line="320" w:lineRule="exact"/>
              <w:jc w:val="center"/>
              <w:rPr>
                <w:rFonts w:hint="default" w:ascii="Times New Roman" w:hAnsi="Times New Roman" w:eastAsia="仿宋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仿宋"/>
                <w:sz w:val="24"/>
              </w:rPr>
              <w:t>1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4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30</w:t>
            </w:r>
            <w:r>
              <w:rPr>
                <w:rFonts w:ascii="Times New Roman" w:hAnsi="Times New Roman" w:eastAsia="仿宋"/>
                <w:sz w:val="24"/>
              </w:rPr>
              <w:t>-1</w:t>
            </w:r>
            <w:r>
              <w:rPr>
                <w:rFonts w:hint="eastAsia" w:ascii="Times New Roman" w:hAnsi="Times New Roman" w:eastAsia="仿宋"/>
                <w:sz w:val="24"/>
              </w:rPr>
              <w:t>6</w:t>
            </w:r>
            <w:r>
              <w:rPr>
                <w:rFonts w:ascii="Times New Roman" w:hAnsi="Times New Roman" w:eastAsia="仿宋"/>
                <w:sz w:val="24"/>
              </w:rPr>
              <w:t>:</w:t>
            </w: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00</w:t>
            </w:r>
          </w:p>
        </w:tc>
        <w:tc>
          <w:tcPr>
            <w:tcW w:w="2525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1D5CD111">
            <w:pPr>
              <w:pStyle w:val="5"/>
              <w:widowControl/>
              <w:spacing w:beforeAutospacing="0" w:afterAutospacing="0" w:line="400" w:lineRule="exact"/>
              <w:rPr>
                <w:rFonts w:ascii="Times New Roman" w:hAnsi="Times New Roman" w:eastAsia="仿宋"/>
                <w:b/>
                <w:bCs/>
                <w:kern w:val="2"/>
              </w:rPr>
            </w:pPr>
            <w:r>
              <w:rPr>
                <w:rFonts w:ascii="Times New Roman" w:hAnsi="Times New Roman" w:eastAsia="仿宋"/>
                <w:b/>
                <w:bCs/>
                <w:kern w:val="2"/>
              </w:rPr>
              <w:t>专题</w:t>
            </w:r>
            <w:r>
              <w:rPr>
                <w:rFonts w:hint="eastAsia" w:ascii="Times New Roman" w:hAnsi="Times New Roman" w:eastAsia="仿宋"/>
                <w:b/>
                <w:bCs/>
                <w:kern w:val="2"/>
              </w:rPr>
              <w:t>宣讲</w:t>
            </w:r>
            <w:r>
              <w:rPr>
                <w:rFonts w:ascii="Times New Roman" w:hAnsi="Times New Roman" w:eastAsia="仿宋"/>
                <w:b/>
                <w:bCs/>
                <w:kern w:val="2"/>
              </w:rPr>
              <w:t>：</w:t>
            </w:r>
          </w:p>
          <w:p w14:paraId="709A5A18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期现联动助力资本市场高质量发展</w:t>
            </w:r>
          </w:p>
          <w:p w14:paraId="4CB6A8EB">
            <w:pPr>
              <w:pStyle w:val="5"/>
              <w:widowControl/>
              <w:spacing w:beforeAutospacing="0" w:afterAutospacing="0" w:line="400" w:lineRule="exact"/>
              <w:ind w:left="1920" w:leftChars="0" w:hanging="1920" w:hangingChars="800"/>
              <w:jc w:val="both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lang w:val="en-US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</w:rPr>
              <w:t>衍生品在资产管理中的运用</w:t>
            </w:r>
          </w:p>
        </w:tc>
        <w:tc>
          <w:tcPr>
            <w:tcW w:w="920" w:type="pct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vAlign w:val="center"/>
          </w:tcPr>
          <w:p w14:paraId="3F551DBD">
            <w:pPr>
              <w:spacing w:line="320" w:lineRule="exact"/>
              <w:jc w:val="center"/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中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sz w:val="24"/>
                <w:lang w:val="en-US" w:eastAsia="zh-CN"/>
              </w:rPr>
              <w:t>金所</w:t>
            </w:r>
          </w:p>
        </w:tc>
      </w:tr>
    </w:tbl>
    <w:p w14:paraId="5148FE82">
      <w:pPr>
        <w:jc w:val="left"/>
        <w:rPr>
          <w:rFonts w:hint="eastAsia" w:ascii="Times New Roman" w:hAnsi="Times New Roman" w:eastAsia="楷体" w:cs="宋体"/>
          <w:b/>
          <w:bCs/>
          <w:sz w:val="24"/>
        </w:rPr>
      </w:pPr>
    </w:p>
    <w:p w14:paraId="23CDCFE2">
      <w:pPr>
        <w:rPr>
          <w:rFonts w:hint="eastAsia" w:eastAsia="楷体"/>
          <w:lang w:eastAsia="zh-CN"/>
        </w:rPr>
      </w:pPr>
      <w:r>
        <w:rPr>
          <w:rFonts w:hint="eastAsia" w:ascii="Times New Roman" w:hAnsi="Times New Roman" w:eastAsia="楷体" w:cs="宋体"/>
          <w:sz w:val="24"/>
        </w:rPr>
        <w:t>（具体课程安排</w:t>
      </w:r>
      <w:r>
        <w:rPr>
          <w:rFonts w:hint="eastAsia" w:ascii="Times New Roman" w:hAnsi="Times New Roman" w:eastAsia="楷体" w:cs="宋体"/>
          <w:sz w:val="24"/>
          <w:lang w:eastAsia="zh-CN"/>
        </w:rPr>
        <w:t>可能</w:t>
      </w:r>
      <w:r>
        <w:rPr>
          <w:rFonts w:hint="eastAsia" w:ascii="Times New Roman" w:hAnsi="Times New Roman" w:eastAsia="楷体" w:cs="宋体"/>
          <w:sz w:val="24"/>
        </w:rPr>
        <w:t>根据实际情况进行调整</w:t>
      </w:r>
      <w:r>
        <w:rPr>
          <w:rFonts w:hint="eastAsia" w:ascii="Times New Roman" w:hAnsi="Times New Roman" w:eastAsia="楷体" w:cs="宋体"/>
          <w:sz w:val="24"/>
          <w:lang w:eastAsia="zh-CN"/>
        </w:rPr>
        <w:t>，以培训当天安排为准）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376BC"/>
    <w:rsid w:val="01537435"/>
    <w:rsid w:val="02731368"/>
    <w:rsid w:val="05A63B1B"/>
    <w:rsid w:val="0C92450A"/>
    <w:rsid w:val="0F032540"/>
    <w:rsid w:val="10546F3B"/>
    <w:rsid w:val="10CC3E59"/>
    <w:rsid w:val="12592623"/>
    <w:rsid w:val="1269506E"/>
    <w:rsid w:val="156D4C43"/>
    <w:rsid w:val="172F04B2"/>
    <w:rsid w:val="18ED58F0"/>
    <w:rsid w:val="1C0A3439"/>
    <w:rsid w:val="1D1B6499"/>
    <w:rsid w:val="1E4E3AB1"/>
    <w:rsid w:val="2099326B"/>
    <w:rsid w:val="25AB02BB"/>
    <w:rsid w:val="26371684"/>
    <w:rsid w:val="26E33204"/>
    <w:rsid w:val="29F76E63"/>
    <w:rsid w:val="2A9D2C8C"/>
    <w:rsid w:val="2AF874C7"/>
    <w:rsid w:val="2BCE696B"/>
    <w:rsid w:val="2C610E53"/>
    <w:rsid w:val="2D633D07"/>
    <w:rsid w:val="2E6C3F1D"/>
    <w:rsid w:val="2FF30813"/>
    <w:rsid w:val="30450B65"/>
    <w:rsid w:val="3049057C"/>
    <w:rsid w:val="30976D05"/>
    <w:rsid w:val="31DA3AEF"/>
    <w:rsid w:val="365E5DA3"/>
    <w:rsid w:val="369E0CAE"/>
    <w:rsid w:val="39693F38"/>
    <w:rsid w:val="3A817D67"/>
    <w:rsid w:val="3AD04F79"/>
    <w:rsid w:val="3AFC19D9"/>
    <w:rsid w:val="3B194FEF"/>
    <w:rsid w:val="3B2A2088"/>
    <w:rsid w:val="3B765A19"/>
    <w:rsid w:val="3CE01F56"/>
    <w:rsid w:val="3D3E45FC"/>
    <w:rsid w:val="3D9B1D3F"/>
    <w:rsid w:val="3E5C76CC"/>
    <w:rsid w:val="3FDA502C"/>
    <w:rsid w:val="4051078A"/>
    <w:rsid w:val="4091073C"/>
    <w:rsid w:val="41BD1DF6"/>
    <w:rsid w:val="4296571A"/>
    <w:rsid w:val="43413E16"/>
    <w:rsid w:val="438B551F"/>
    <w:rsid w:val="44677DB8"/>
    <w:rsid w:val="455253C2"/>
    <w:rsid w:val="48110DD1"/>
    <w:rsid w:val="48FB212D"/>
    <w:rsid w:val="49127D9E"/>
    <w:rsid w:val="4D6B3747"/>
    <w:rsid w:val="4E507824"/>
    <w:rsid w:val="51283F24"/>
    <w:rsid w:val="51D132FD"/>
    <w:rsid w:val="52BB2AF6"/>
    <w:rsid w:val="53F229C4"/>
    <w:rsid w:val="540376BC"/>
    <w:rsid w:val="541423B7"/>
    <w:rsid w:val="55FE1393"/>
    <w:rsid w:val="56200B13"/>
    <w:rsid w:val="56260A77"/>
    <w:rsid w:val="57413E55"/>
    <w:rsid w:val="58996038"/>
    <w:rsid w:val="58F44C79"/>
    <w:rsid w:val="5D2378DB"/>
    <w:rsid w:val="5E577370"/>
    <w:rsid w:val="5F6F1F5E"/>
    <w:rsid w:val="607D4515"/>
    <w:rsid w:val="62887F97"/>
    <w:rsid w:val="67A625A0"/>
    <w:rsid w:val="6A3A2708"/>
    <w:rsid w:val="6CC80A8E"/>
    <w:rsid w:val="6EDF6CBC"/>
    <w:rsid w:val="6F0E458B"/>
    <w:rsid w:val="700A0A64"/>
    <w:rsid w:val="7047792D"/>
    <w:rsid w:val="74AF2912"/>
    <w:rsid w:val="74CA78B6"/>
    <w:rsid w:val="791D122B"/>
    <w:rsid w:val="79E9735F"/>
    <w:rsid w:val="7C7A1710"/>
    <w:rsid w:val="7E5F4018"/>
    <w:rsid w:val="7EA0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Body Text"/>
    <w:basedOn w:val="1"/>
    <w:unhideWhenUsed/>
    <w:qFormat/>
    <w:uiPriority w:val="99"/>
    <w:rPr>
      <w:rFonts w:hint="eastAsia" w:eastAsia="仿宋_GB2312"/>
      <w:sz w:val="28"/>
      <w:szCs w:val="31"/>
    </w:rPr>
  </w:style>
  <w:style w:type="paragraph" w:styleId="4">
    <w:name w:val="Subtitle"/>
    <w:basedOn w:val="1"/>
    <w:qFormat/>
    <w:uiPriority w:val="11"/>
    <w:pPr>
      <w:widowControl/>
      <w:jc w:val="center"/>
    </w:pPr>
    <w:rPr>
      <w:rFonts w:ascii="Tahoma" w:hAnsi="Tahoma"/>
      <w:kern w:val="0"/>
      <w:sz w:val="28"/>
      <w:szCs w:val="20"/>
      <w:lang w:eastAsia="en-US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8">
    <w:name w:val="网格表 4 - 着色 11"/>
    <w:basedOn w:val="6"/>
    <w:qFormat/>
    <w:uiPriority w:val="49"/>
    <w:rPr>
      <w:rFonts w:ascii="Times New Roman" w:hAnsi="Times New Roman" w:eastAsia="宋体" w:cs="Times New Roman"/>
    </w:rPr>
    <w:tblPr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1" w:themeFillTint="33"/>
      </w:tcPr>
    </w:tblStylePr>
    <w:tblStylePr w:type="band1Horz">
      <w:tcPr>
        <w:shd w:val="clear" w:color="auto" w:fill="DEEAF6" w:themeFill="accent1" w:themeFillTint="33"/>
      </w:tcPr>
    </w:tblStylePr>
  </w:style>
  <w:style w:type="paragraph" w:customStyle="1" w:styleId="9">
    <w:name w:val="正文首行缩进 21"/>
    <w:basedOn w:val="1"/>
    <w:autoRedefine/>
    <w:qFormat/>
    <w:uiPriority w:val="0"/>
    <w:pPr>
      <w:spacing w:before="100" w:beforeAutospacing="1" w:after="120"/>
      <w:ind w:left="420" w:leftChars="200" w:firstLine="210"/>
    </w:pPr>
    <w:rPr>
      <w:rFonts w:ascii="Calibri" w:hAnsi="Calibri" w:eastAsia="宋体"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348</Characters>
  <Lines>0</Lines>
  <Paragraphs>0</Paragraphs>
  <TotalTime>0</TotalTime>
  <ScaleCrop>false</ScaleCrop>
  <LinksUpToDate>false</LinksUpToDate>
  <CharactersWithSpaces>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2024-11-20T07:14:00Z</dcterms:created>
  <dc:creator>Administrator</dc:creator>
  <cp:lastModifiedBy>倪琦竣</cp:lastModifiedBy>
  <dcterms:modified xsi:type="dcterms:W3CDTF">2026-07-13T07:48:49Z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A1A9D7595BFF43F59C7897482B7E7807</vt:lpwstr>
  </property>
  <property fmtid="{D5CDD505-2E9C-101B-9397-08002B2CF9AE}" pid="4" name="KSOTemplateDocerSaveRecord">
    <vt:lpwstr>eyJoZGlkIjoiYWZkODgyMjgxMzlkZjVhYmVhZmY5YjQ1OGQ4Y2ZhMDIiLCJ1c2VySWQiOiI0MzE1NzI1NjIifQ==</vt:lpwstr>
  </property>
</Properties>
</file>