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4DDB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39E521F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 w14:paraId="2DEBE788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上交所期权策略顾问（初级班）培训</w:t>
      </w:r>
    </w:p>
    <w:p w14:paraId="51185C15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 w14:paraId="07C5D244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72F5C6FB"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71D77F68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 w14:paraId="43DD34CA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5E6762D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 w14:paraId="5295DE3C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 w14:paraId="45CD26E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6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61721F6"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6E85497A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8FC062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 w14:paraId="43FBEA91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C98191E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5766D33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D0FE299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 w14:paraId="6F1DFC48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A89BA15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39076E76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D685F2C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 w14:paraId="0BF11DB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期权基础组合策略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  <w:bookmarkStart w:id="0" w:name="_GoBack"/>
            <w:bookmarkEnd w:id="0"/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406943E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 w14:paraId="5AD9C7C9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D66D04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 w14:paraId="31693700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期权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6FCECED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及部分风控制度。</w:t>
            </w:r>
          </w:p>
        </w:tc>
      </w:tr>
      <w:tr w14:paraId="616CCD79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D5F9CD2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第六讲：</w:t>
            </w:r>
          </w:p>
          <w:p w14:paraId="4C4A002E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股票期权发展现状与实践案例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8BF522F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期权投资者适当性管理、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14D0D523">
      <w:pPr>
        <w:adjustRightInd w:val="0"/>
        <w:snapToGrid w:val="0"/>
        <w:ind w:firstLine="480" w:firstLineChars="20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8A6D4B4">
      <w:pPr>
        <w:adjustRightInd w:val="0"/>
        <w:snapToGrid w:val="0"/>
        <w:rPr>
          <w:rFonts w:ascii="楷体" w:hAnsi="楷体" w:eastAsia="楷体" w:cs="宋体"/>
          <w:sz w:val="24"/>
        </w:rPr>
      </w:pPr>
    </w:p>
    <w:p w14:paraId="524E3805"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 w14:paraId="49ED3BC3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D3176C8"/>
    <w:rsid w:val="116D61AF"/>
    <w:rsid w:val="5D7FB34E"/>
    <w:rsid w:val="7DB9860F"/>
    <w:rsid w:val="E6FF6264"/>
    <w:rsid w:val="F5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4</TotalTime>
  <ScaleCrop>false</ScaleCrop>
  <LinksUpToDate>false</LinksUpToDate>
  <CharactersWithSpaces>429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2024-06-03T08:35:00Z</dcterms:created>
  <dc:creator>ytzhou</dc:creator>
  <cp:lastModifiedBy>shuhuili</cp:lastModifiedBy>
  <dcterms:modified xsi:type="dcterms:W3CDTF">2025-12-10T16:17:18Z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54896302987426A3102C3969B5589F8A_43</vt:lpwstr>
  </property>
</Properties>
</file>