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71CEB">
      <w:pPr>
        <w:widowControl/>
        <w:snapToGrid w:val="0"/>
        <w:spacing w:line="5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6670D049">
      <w:pPr>
        <w:widowControl/>
        <w:snapToGrid w:val="0"/>
        <w:spacing w:line="500" w:lineRule="exact"/>
        <w:jc w:val="left"/>
        <w:rPr>
          <w:rFonts w:ascii="黑体" w:hAnsi="黑体" w:eastAsia="黑体"/>
          <w:sz w:val="32"/>
          <w:szCs w:val="32"/>
        </w:rPr>
      </w:pPr>
    </w:p>
    <w:p w14:paraId="037D4578">
      <w:pPr>
        <w:widowControl/>
        <w:snapToGrid w:val="0"/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上交所</w:t>
      </w:r>
      <w:r>
        <w:rPr>
          <w:rFonts w:hint="eastAsia" w:ascii="黑体" w:hAnsi="黑体" w:eastAsia="黑体"/>
          <w:sz w:val="36"/>
          <w:szCs w:val="36"/>
          <w:lang w:eastAsia="zh-CN"/>
        </w:rPr>
        <w:t>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76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val="en-US" w:eastAsia="zh-CN"/>
        </w:rPr>
        <w:t>期</w:t>
      </w:r>
      <w:r>
        <w:rPr>
          <w:rFonts w:hint="eastAsia" w:ascii="黑体" w:hAnsi="黑体" w:eastAsia="黑体"/>
          <w:sz w:val="36"/>
          <w:szCs w:val="36"/>
        </w:rPr>
        <w:t>期权策略顾问（初级班）培训</w:t>
      </w:r>
    </w:p>
    <w:p w14:paraId="12749A5D">
      <w:pPr>
        <w:widowControl/>
        <w:snapToGrid w:val="0"/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课程表</w:t>
      </w:r>
    </w:p>
    <w:tbl>
      <w:tblPr>
        <w:tblStyle w:val="3"/>
        <w:tblpPr w:leftFromText="180" w:rightFromText="180" w:vertAnchor="text" w:horzAnchor="page" w:tblpX="1786" w:tblpY="255"/>
        <w:tblOverlap w:val="never"/>
        <w:tblW w:w="5000" w:type="pct"/>
        <w:tblInd w:w="0" w:type="dxa"/>
        <w:tbl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single" w:color="84B4DF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6998"/>
      </w:tblGrid>
      <w:tr w14:paraId="7C600628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 w14:paraId="0CA4BD86">
            <w:pPr>
              <w:adjustRightInd w:val="0"/>
              <w:snapToGrid w:val="0"/>
              <w:spacing w:before="0" w:after="0" w:line="240" w:lineRule="auto"/>
              <w:rPr>
                <w:rFonts w:ascii="楷体" w:hAnsi="楷体" w:eastAsia="楷体" w:cs="宋体"/>
                <w:b w:val="0"/>
                <w:bCs w:val="0"/>
                <w:color w:val="FFFFFF"/>
                <w:sz w:val="24"/>
              </w:rPr>
            </w:pPr>
            <w:r>
              <w:rPr>
                <w:rFonts w:hint="eastAsia" w:cs="宋体"/>
                <w:b/>
                <w:bCs/>
                <w:color w:val="FFFFFF"/>
                <w:sz w:val="24"/>
              </w:rPr>
              <w:t>课程名称</w:t>
            </w:r>
          </w:p>
        </w:tc>
        <w:tc>
          <w:tcPr>
            <w:tcW w:w="4105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  <w:insideV w:val="nil"/>
            </w:tcBorders>
            <w:shd w:val="clear" w:color="auto" w:fill="4F81BD"/>
            <w:vAlign w:val="center"/>
          </w:tcPr>
          <w:p w14:paraId="346DDA76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楷体" w:hAnsi="楷体" w:eastAsia="楷体" w:cs="宋体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楷体" w:hAnsi="楷体" w:eastAsia="楷体" w:cs="宋体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培训内容</w:t>
            </w:r>
          </w:p>
        </w:tc>
      </w:tr>
      <w:tr w14:paraId="6634F2B6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894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497C2E4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第一讲：</w:t>
            </w:r>
          </w:p>
          <w:p w14:paraId="7E116E5D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期权的基础知识 </w:t>
            </w:r>
          </w:p>
          <w:p w14:paraId="2897D4D7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105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B8C69C6">
            <w:pP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期权的概念与基本功能；期权的合约要素、上交所股票期权的合约设计、期权的价值、影响期权价值的因素、希腊字母简介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  <w:tr w14:paraId="50461E48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BF1BD69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第二讲：</w:t>
            </w:r>
          </w:p>
          <w:p w14:paraId="1F374B12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单腿期权策略</w:t>
            </w:r>
          </w:p>
        </w:tc>
        <w:tc>
          <w:tcPr>
            <w:tcW w:w="410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110E9B1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买认购、卖认购、买认沽、卖认沽的盈亏分析；买入开仓的使用场景与风险点、买入开仓的90/10策略；卖出开仓的使用场景与风险点、保证金、强行平仓制度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  <w:tr w14:paraId="42D68554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1733CE86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第三讲：</w:t>
            </w:r>
          </w:p>
          <w:p w14:paraId="5658FACA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保险策略与备兑开仓</w:t>
            </w:r>
          </w:p>
        </w:tc>
        <w:tc>
          <w:tcPr>
            <w:tcW w:w="410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5AB558AB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保险策略的使用场景、盈亏分析与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注意事项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；备兑开仓策略的使用场景、盈亏分析、风险特征和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注意事项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；卖出认沽买股票策略的应用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  <w:tr w14:paraId="30A5F46C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7B940F9F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第四讲：</w:t>
            </w:r>
          </w:p>
          <w:p w14:paraId="5E0CF1BD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组合策略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入门</w:t>
            </w:r>
          </w:p>
        </w:tc>
        <w:tc>
          <w:tcPr>
            <w:tcW w:w="410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2B0CC2A5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牛市价差组合、熊市价差组合、合成股票策略、跨式、宽跨式组合盈亏与案例分析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、组合策略保证金及其应用。</w:t>
            </w:r>
          </w:p>
        </w:tc>
      </w:tr>
      <w:tr w14:paraId="48CDF86F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1FD8A536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第五讲：</w:t>
            </w:r>
          </w:p>
          <w:p w14:paraId="1730C596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行权交收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和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限仓限购制度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，以及股票期权发展现状和实例</w:t>
            </w:r>
          </w:p>
        </w:tc>
        <w:tc>
          <w:tcPr>
            <w:tcW w:w="410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76EC58DB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上交所期权行权交收制度、限仓限购制度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上交所期权市场发展情况介绍、介绍客户端使用方法和行情浏览，分享实践案例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</w:tbl>
    <w:p w14:paraId="593D0FF9">
      <w:pPr>
        <w:adjustRightInd w:val="0"/>
        <w:snapToGrid w:val="0"/>
        <w:rPr>
          <w:rFonts w:ascii="Times New Roman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47B69BD1">
      <w:pPr>
        <w:adjustRightInd w:val="0"/>
        <w:snapToGrid w:val="0"/>
        <w:rPr>
          <w:rFonts w:ascii="楷体" w:hAnsi="楷体" w:eastAsia="楷体" w:cs="宋体"/>
          <w:sz w:val="24"/>
        </w:rPr>
      </w:pPr>
      <w:r>
        <w:rPr>
          <w:rFonts w:hint="eastAsia" w:ascii="楷体" w:hAnsi="楷体" w:eastAsia="楷体" w:cs="宋体"/>
          <w:sz w:val="24"/>
        </w:rPr>
        <w:t>以培训时课程表为准。</w:t>
      </w:r>
    </w:p>
    <w:p w14:paraId="60000751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D61AF"/>
    <w:rsid w:val="007412A7"/>
    <w:rsid w:val="033336D0"/>
    <w:rsid w:val="067F377B"/>
    <w:rsid w:val="0D3176C8"/>
    <w:rsid w:val="116D61AF"/>
    <w:rsid w:val="35012C8A"/>
    <w:rsid w:val="542E5E8B"/>
    <w:rsid w:val="5EF70CB5"/>
    <w:rsid w:val="6BD7000A"/>
    <w:rsid w:val="712F7431"/>
    <w:rsid w:val="7B145825"/>
    <w:rsid w:val="7FF95263"/>
    <w:rsid w:val="FEDF8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Shading 1 Accent 1"/>
    <w:basedOn w:val="2"/>
    <w:qFormat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428</Characters>
  <Lines>0</Lines>
  <Paragraphs>0</Paragraphs>
  <TotalTime>10</TotalTime>
  <ScaleCrop>false</ScaleCrop>
  <LinksUpToDate>false</LinksUpToDate>
  <CharactersWithSpaces>429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2024-06-04T00:35:00Z</dcterms:created>
  <dc:creator>ytzhou</dc:creator>
  <cp:lastModifiedBy>lwsheng</cp:lastModifiedBy>
  <dcterms:modified xsi:type="dcterms:W3CDTF">2025-11-24T14:18:27Z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1F60DA553DF348F69DCFC6A3E9402BD1_13</vt:lpwstr>
  </property>
</Properties>
</file>