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E4F0BF">
      <w:pPr>
        <w:widowControl/>
        <w:snapToGrid w:val="0"/>
        <w:spacing w:line="500" w:lineRule="exact"/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/>
          <w:bCs/>
          <w:kern w:val="44"/>
          <w:sz w:val="30"/>
          <w:szCs w:val="30"/>
        </w:rPr>
        <w:t>附件1：</w:t>
      </w:r>
    </w:p>
    <w:p w14:paraId="51B52E03">
      <w:pPr>
        <w:jc w:val="center"/>
        <w:rPr>
          <w:rFonts w:hint="eastAsia" w:ascii="Times New Roman" w:hAnsi="Times New Roman" w:eastAsia="黑体"/>
          <w:bCs/>
          <w:kern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/>
          <w:bCs/>
          <w:kern w:val="0"/>
          <w:sz w:val="30"/>
          <w:szCs w:val="30"/>
          <w:lang w:val="en-US" w:eastAsia="zh-CN"/>
        </w:rPr>
        <w:t>践行三投资理念，促进高质量发展</w:t>
      </w:r>
    </w:p>
    <w:p w14:paraId="45323AA4">
      <w:pPr>
        <w:jc w:val="center"/>
        <w:rPr>
          <w:rFonts w:hint="eastAsia" w:ascii="Times New Roman" w:hAnsi="Times New Roman" w:eastAsia="黑体"/>
          <w:bCs/>
          <w:kern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/>
          <w:bCs/>
          <w:kern w:val="0"/>
          <w:sz w:val="30"/>
          <w:szCs w:val="30"/>
          <w:lang w:val="en-US" w:eastAsia="zh-CN"/>
        </w:rPr>
        <w:t>上海证券交易所机构投资者服务粤港澳大湾区行</w:t>
      </w:r>
    </w:p>
    <w:p w14:paraId="498F2AA4">
      <w:pPr>
        <w:jc w:val="center"/>
        <w:rPr>
          <w:rFonts w:ascii="Times New Roman" w:hAnsi="Times New Roman" w:eastAsia="黑体"/>
          <w:bCs/>
          <w:kern w:val="0"/>
          <w:sz w:val="30"/>
          <w:szCs w:val="30"/>
        </w:rPr>
      </w:pPr>
      <w:r>
        <w:rPr>
          <w:rFonts w:hint="eastAsia" w:ascii="Times New Roman" w:hAnsi="Times New Roman" w:eastAsia="黑体"/>
          <w:bCs/>
          <w:kern w:val="0"/>
          <w:sz w:val="30"/>
          <w:szCs w:val="30"/>
          <w:lang w:val="en-US" w:eastAsia="zh-CN"/>
        </w:rPr>
        <w:t>（深圳站）培训</w:t>
      </w:r>
      <w:r>
        <w:rPr>
          <w:rFonts w:hint="eastAsia" w:ascii="Times New Roman" w:hAnsi="Times New Roman" w:eastAsia="黑体"/>
          <w:bCs/>
          <w:kern w:val="0"/>
          <w:sz w:val="30"/>
          <w:szCs w:val="30"/>
        </w:rPr>
        <w:t>课程表</w:t>
      </w:r>
    </w:p>
    <w:p w14:paraId="71E69235">
      <w:pPr>
        <w:jc w:val="left"/>
        <w:rPr>
          <w:rFonts w:hint="eastAsia" w:ascii="Times New Roman" w:hAnsi="Times New Roman" w:eastAsia="楷体" w:cs="宋体"/>
          <w:b/>
          <w:bCs/>
          <w:sz w:val="24"/>
        </w:rPr>
      </w:pPr>
    </w:p>
    <w:p w14:paraId="222A04BE">
      <w:pPr>
        <w:jc w:val="left"/>
        <w:rPr>
          <w:rFonts w:hint="eastAsia" w:ascii="Times New Roman" w:hAnsi="Times New Roman" w:eastAsia="楷体" w:cs="宋体"/>
          <w:b/>
          <w:bCs/>
          <w:sz w:val="24"/>
          <w:lang w:val="en-US" w:eastAsia="zh-CN"/>
        </w:rPr>
      </w:pPr>
      <w:r>
        <w:rPr>
          <w:rFonts w:hint="eastAsia" w:ascii="Times New Roman" w:hAnsi="Times New Roman" w:eastAsia="楷体" w:cs="宋体"/>
          <w:b/>
          <w:bCs/>
          <w:sz w:val="24"/>
        </w:rPr>
        <w:t>培训地点：</w:t>
      </w:r>
      <w:r>
        <w:rPr>
          <w:rFonts w:hint="eastAsia" w:ascii="Times New Roman" w:hAnsi="Times New Roman" w:eastAsia="楷体" w:cs="宋体"/>
          <w:b/>
          <w:bCs/>
          <w:sz w:val="24"/>
          <w:lang w:val="en-US" w:eastAsia="zh-CN"/>
        </w:rPr>
        <w:t>资本市场学院A栋教学楼5楼501会议室</w:t>
      </w:r>
    </w:p>
    <w:p w14:paraId="45F70111">
      <w:pPr>
        <w:ind w:firstLine="1205" w:firstLineChars="500"/>
        <w:jc w:val="left"/>
        <w:rPr>
          <w:rFonts w:hint="eastAsia" w:ascii="Times New Roman" w:hAnsi="Times New Roman" w:eastAsia="楷体" w:cs="宋体"/>
          <w:b/>
          <w:bCs/>
          <w:sz w:val="22"/>
          <w:szCs w:val="21"/>
        </w:rPr>
      </w:pPr>
      <w:r>
        <w:rPr>
          <w:rFonts w:hint="eastAsia" w:ascii="Times New Roman" w:hAnsi="Times New Roman" w:eastAsia="楷体" w:cs="宋体"/>
          <w:b/>
          <w:bCs/>
          <w:sz w:val="24"/>
          <w:lang w:val="en-US" w:eastAsia="zh-CN"/>
        </w:rPr>
        <w:t>（深圳市南山区西丽街道沁园二路2号）</w:t>
      </w:r>
    </w:p>
    <w:tbl>
      <w:tblPr>
        <w:tblStyle w:val="6"/>
        <w:tblpPr w:leftFromText="180" w:rightFromText="180" w:vertAnchor="text" w:horzAnchor="page" w:tblpX="1660" w:tblpY="109"/>
        <w:tblOverlap w:val="never"/>
        <w:tblW w:w="5221" w:type="pct"/>
        <w:tblInd w:w="0" w:type="dxa"/>
        <w:tblBorders>
          <w:top w:val="single" w:color="9CC2E5" w:sz="4" w:space="0"/>
          <w:left w:val="single" w:color="9CC2E5" w:sz="4" w:space="0"/>
          <w:bottom w:val="single" w:color="9CC2E5" w:sz="4" w:space="0"/>
          <w:right w:val="single" w:color="9CC2E5" w:sz="4" w:space="0"/>
          <w:insideH w:val="single" w:color="9CC2E5" w:sz="4" w:space="0"/>
          <w:insideV w:val="single" w:color="9CC2E5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514"/>
        <w:gridCol w:w="4563"/>
        <w:gridCol w:w="1639"/>
      </w:tblGrid>
      <w:tr w14:paraId="09D26732"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515" w:type="pct"/>
            <w:gridSpan w:val="2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nil"/>
            </w:tcBorders>
            <w:shd w:val="clear" w:color="auto" w:fill="4F81BD"/>
          </w:tcPr>
          <w:p w14:paraId="243F9529">
            <w:pPr>
              <w:jc w:val="center"/>
              <w:rPr>
                <w:rFonts w:ascii="Times New Roman" w:hAnsi="Times New Roman" w:eastAsia="仿宋_GB2312"/>
                <w:b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FFFFFF"/>
                <w:kern w:val="0"/>
                <w:sz w:val="28"/>
                <w:szCs w:val="28"/>
              </w:rPr>
              <w:t>培训日程</w:t>
            </w:r>
          </w:p>
        </w:tc>
        <w:tc>
          <w:tcPr>
            <w:tcW w:w="2564" w:type="pc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nil"/>
            </w:tcBorders>
            <w:shd w:val="clear" w:color="auto" w:fill="4F81BD"/>
          </w:tcPr>
          <w:p w14:paraId="7BB80466">
            <w:pPr>
              <w:jc w:val="center"/>
              <w:rPr>
                <w:rFonts w:ascii="Times New Roman" w:hAnsi="Times New Roman" w:eastAsia="仿宋_GB2312"/>
                <w:b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FFFFFF"/>
                <w:kern w:val="0"/>
                <w:sz w:val="28"/>
                <w:szCs w:val="28"/>
              </w:rPr>
              <w:t>具体环节课程安排</w:t>
            </w:r>
          </w:p>
        </w:tc>
        <w:tc>
          <w:tcPr>
            <w:tcW w:w="920" w:type="pc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nil"/>
            </w:tcBorders>
            <w:shd w:val="clear" w:color="auto" w:fill="4F81BD"/>
          </w:tcPr>
          <w:p w14:paraId="39177AF3">
            <w:pPr>
              <w:jc w:val="center"/>
              <w:rPr>
                <w:rFonts w:ascii="Times New Roman" w:hAnsi="Times New Roman" w:eastAsia="仿宋_GB2312"/>
                <w:b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FFFFFF"/>
                <w:kern w:val="0"/>
                <w:sz w:val="28"/>
                <w:szCs w:val="28"/>
              </w:rPr>
              <w:t>授课师资</w:t>
            </w:r>
          </w:p>
        </w:tc>
      </w:tr>
      <w:tr w14:paraId="4850868B"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64" w:type="pct"/>
            <w:vMerge w:val="restar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F44C2AF"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月2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日</w:t>
            </w:r>
          </w:p>
          <w:p w14:paraId="791BA090">
            <w:pPr>
              <w:pStyle w:val="2"/>
              <w:ind w:left="0" w:leftChars="0" w:firstLine="0" w:firstLineChars="0"/>
              <w:rPr>
                <w:rFonts w:hint="eastAsia" w:eastAsia="仿宋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周三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5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796C0FE4">
            <w:pPr>
              <w:spacing w:line="320" w:lineRule="exact"/>
              <w:jc w:val="center"/>
              <w:rPr>
                <w:rFonts w:hint="default" w:ascii="Times New Roman" w:hAnsi="Times New Roman" w:eastAsia="仿宋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"/>
                <w:sz w:val="24"/>
              </w:rPr>
              <w:t>9:30-</w:t>
            </w:r>
            <w:r>
              <w:rPr>
                <w:rFonts w:hint="eastAsia" w:ascii="Times New Roman" w:hAnsi="Times New Roman" w:eastAsia="仿宋"/>
                <w:sz w:val="24"/>
              </w:rPr>
              <w:t>9:45</w:t>
            </w:r>
          </w:p>
        </w:tc>
        <w:tc>
          <w:tcPr>
            <w:tcW w:w="2564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27041568">
            <w:pPr>
              <w:pStyle w:val="9"/>
              <w:spacing w:before="0" w:beforeAutospacing="0" w:after="0" w:line="320" w:lineRule="exact"/>
              <w:ind w:left="0" w:leftChars="0" w:firstLine="0" w:firstLineChars="0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开班、致辞</w:t>
            </w:r>
          </w:p>
        </w:tc>
        <w:tc>
          <w:tcPr>
            <w:tcW w:w="92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229ADC39">
            <w:pPr>
              <w:spacing w:line="320" w:lineRule="exact"/>
              <w:ind w:firstLine="480" w:firstLineChars="200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上交所</w:t>
            </w:r>
          </w:p>
        </w:tc>
      </w:tr>
      <w:tr w14:paraId="3F60E00F"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664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 w14:paraId="415951C3">
            <w:pPr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5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525873B4">
            <w:pPr>
              <w:spacing w:line="320" w:lineRule="exact"/>
              <w:jc w:val="center"/>
              <w:rPr>
                <w:rFonts w:hint="default" w:ascii="Times New Roman" w:hAnsi="Times New Roman" w:eastAsia="仿宋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9</w:t>
            </w:r>
            <w:r>
              <w:rPr>
                <w:rFonts w:ascii="Times New Roman" w:hAnsi="Times New Roman" w:eastAsia="仿宋"/>
                <w:sz w:val="24"/>
              </w:rPr>
              <w:t>:</w:t>
            </w:r>
            <w:r>
              <w:rPr>
                <w:rFonts w:hint="eastAsia" w:ascii="Times New Roman" w:hAnsi="Times New Roman" w:eastAsia="仿宋"/>
                <w:sz w:val="24"/>
              </w:rPr>
              <w:t>45</w:t>
            </w:r>
            <w:r>
              <w:rPr>
                <w:rFonts w:ascii="Times New Roman" w:hAnsi="Times New Roman" w:eastAsia="仿宋"/>
                <w:sz w:val="24"/>
              </w:rPr>
              <w:t>-1</w:t>
            </w:r>
            <w:r>
              <w:rPr>
                <w:rFonts w:hint="eastAsia" w:ascii="Times New Roman" w:hAnsi="Times New Roman" w:eastAsia="仿宋"/>
                <w:sz w:val="24"/>
              </w:rPr>
              <w:t>0</w:t>
            </w:r>
            <w:r>
              <w:rPr>
                <w:rFonts w:ascii="Times New Roman" w:hAnsi="Times New Roman" w:eastAsia="仿宋"/>
                <w:sz w:val="24"/>
              </w:rPr>
              <w:t>:</w:t>
            </w:r>
            <w:r>
              <w:rPr>
                <w:rFonts w:hint="eastAsia" w:ascii="Times New Roman" w:hAnsi="Times New Roman" w:eastAsia="仿宋"/>
                <w:sz w:val="24"/>
              </w:rPr>
              <w:t>45</w:t>
            </w:r>
          </w:p>
        </w:tc>
        <w:tc>
          <w:tcPr>
            <w:tcW w:w="2564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398BCEBF">
            <w:pPr>
              <w:pStyle w:val="5"/>
              <w:widowControl/>
              <w:spacing w:beforeAutospacing="0" w:afterAutospacing="0" w:line="400" w:lineRule="exact"/>
              <w:ind w:left="1928" w:hanging="1928" w:hangingChars="800"/>
              <w:jc w:val="both"/>
              <w:rPr>
                <w:rFonts w:ascii="Times New Roman" w:hAnsi="Times New Roman" w:eastAsia="仿宋"/>
                <w:b/>
                <w:bCs/>
                <w:kern w:val="2"/>
              </w:rPr>
            </w:pPr>
            <w:r>
              <w:rPr>
                <w:rFonts w:ascii="Times New Roman" w:hAnsi="Times New Roman" w:eastAsia="仿宋"/>
                <w:b/>
                <w:bCs/>
                <w:kern w:val="2"/>
              </w:rPr>
              <w:t>专题</w:t>
            </w:r>
            <w:r>
              <w:rPr>
                <w:rFonts w:hint="eastAsia" w:ascii="Times New Roman" w:hAnsi="Times New Roman" w:eastAsia="仿宋"/>
                <w:b/>
                <w:bCs/>
                <w:kern w:val="2"/>
              </w:rPr>
              <w:t>宣讲</w:t>
            </w:r>
            <w:r>
              <w:rPr>
                <w:rFonts w:ascii="Times New Roman" w:hAnsi="Times New Roman" w:eastAsia="仿宋"/>
                <w:b/>
                <w:bCs/>
                <w:kern w:val="2"/>
              </w:rPr>
              <w:t>：</w:t>
            </w:r>
          </w:p>
          <w:p w14:paraId="5EC0FC75">
            <w:pPr>
              <w:pStyle w:val="5"/>
              <w:widowControl/>
              <w:spacing w:beforeAutospacing="0" w:afterAutospacing="0" w:line="400" w:lineRule="exact"/>
              <w:ind w:left="1920" w:hanging="1920" w:hangingChars="800"/>
              <w:jc w:val="both"/>
              <w:rPr>
                <w:rFonts w:ascii="Times New Roman" w:hAnsi="Times New Roman" w:eastAsia="仿宋"/>
                <w:kern w:val="2"/>
              </w:rPr>
            </w:pPr>
            <w:r>
              <w:rPr>
                <w:rFonts w:hint="eastAsia" w:ascii="Times New Roman" w:hAnsi="Times New Roman" w:eastAsia="仿宋"/>
                <w:bCs/>
                <w:kern w:val="2"/>
              </w:rPr>
              <w:t>挑战与机遇并存</w:t>
            </w:r>
            <w:r>
              <w:rPr>
                <w:rFonts w:hint="eastAsia" w:ascii="Times New Roman" w:hAnsi="Times New Roman" w:eastAsia="仿宋"/>
                <w:kern w:val="2"/>
              </w:rPr>
              <w:t xml:space="preserve">            </w:t>
            </w:r>
          </w:p>
          <w:p w14:paraId="5DD6C296">
            <w:pPr>
              <w:pStyle w:val="5"/>
              <w:widowControl/>
              <w:spacing w:beforeAutospacing="0" w:afterAutospacing="0" w:line="400" w:lineRule="exact"/>
              <w:ind w:left="1919" w:leftChars="228" w:hanging="1440" w:hangingChars="600"/>
              <w:jc w:val="both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2"/>
              </w:rPr>
              <w:t>——</w:t>
            </w:r>
            <w:r>
              <w:rPr>
                <w:rFonts w:hint="eastAsia" w:ascii="Times New Roman" w:hAnsi="Times New Roman" w:eastAsia="仿宋"/>
                <w:kern w:val="2"/>
              </w:rPr>
              <w:t>2025年资本市场投资展望</w:t>
            </w:r>
          </w:p>
        </w:tc>
        <w:tc>
          <w:tcPr>
            <w:tcW w:w="92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4D6FFF6D"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市场机构</w:t>
            </w:r>
          </w:p>
        </w:tc>
      </w:tr>
      <w:tr w14:paraId="75C971CB"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664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 w14:paraId="7310E14B">
            <w:pPr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5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33C3BEAC">
            <w:pPr>
              <w:spacing w:line="320" w:lineRule="exact"/>
              <w:jc w:val="center"/>
              <w:rPr>
                <w:rFonts w:hint="default" w:ascii="Times New Roman" w:hAnsi="Times New Roman" w:eastAsia="仿宋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"/>
                <w:sz w:val="24"/>
              </w:rPr>
              <w:t>1</w:t>
            </w:r>
            <w:r>
              <w:rPr>
                <w:rFonts w:hint="eastAsia" w:ascii="Times New Roman" w:hAnsi="Times New Roman" w:eastAsia="仿宋"/>
                <w:sz w:val="24"/>
              </w:rPr>
              <w:t>1</w:t>
            </w:r>
            <w:r>
              <w:rPr>
                <w:rFonts w:ascii="Times New Roman" w:hAnsi="Times New Roman" w:eastAsia="仿宋"/>
                <w:sz w:val="24"/>
              </w:rPr>
              <w:t>:</w:t>
            </w:r>
            <w:r>
              <w:rPr>
                <w:rFonts w:hint="eastAsia" w:ascii="Times New Roman" w:hAnsi="Times New Roman" w:eastAsia="仿宋"/>
                <w:sz w:val="24"/>
              </w:rPr>
              <w:t>0</w:t>
            </w:r>
            <w:r>
              <w:rPr>
                <w:rFonts w:ascii="Times New Roman" w:hAnsi="Times New Roman" w:eastAsia="仿宋"/>
                <w:sz w:val="24"/>
              </w:rPr>
              <w:t>0-1</w:t>
            </w:r>
            <w:r>
              <w:rPr>
                <w:rFonts w:hint="eastAsia" w:ascii="Times New Roman" w:hAnsi="Times New Roman" w:eastAsia="仿宋"/>
                <w:sz w:val="24"/>
              </w:rPr>
              <w:t>2</w:t>
            </w:r>
            <w:r>
              <w:rPr>
                <w:rFonts w:ascii="Times New Roman" w:hAnsi="Times New Roman" w:eastAsia="仿宋"/>
                <w:sz w:val="24"/>
              </w:rPr>
              <w:t>:</w:t>
            </w:r>
            <w:r>
              <w:rPr>
                <w:rFonts w:hint="eastAsia" w:ascii="Times New Roman" w:hAnsi="Times New Roman" w:eastAsia="仿宋"/>
                <w:sz w:val="24"/>
              </w:rPr>
              <w:t>00</w:t>
            </w:r>
          </w:p>
        </w:tc>
        <w:tc>
          <w:tcPr>
            <w:tcW w:w="2564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55C6BCE0">
            <w:pPr>
              <w:pStyle w:val="5"/>
              <w:widowControl/>
              <w:spacing w:beforeAutospacing="0" w:afterAutospacing="0" w:line="400" w:lineRule="exact"/>
              <w:jc w:val="both"/>
              <w:rPr>
                <w:rFonts w:ascii="Times New Roman" w:hAnsi="Times New Roman" w:eastAsia="仿宋"/>
                <w:b/>
                <w:bCs/>
                <w:kern w:val="2"/>
              </w:rPr>
            </w:pPr>
            <w:r>
              <w:rPr>
                <w:rFonts w:hint="eastAsia" w:ascii="Times New Roman" w:hAnsi="Times New Roman" w:eastAsia="仿宋"/>
                <w:b/>
                <w:bCs/>
                <w:kern w:val="2"/>
              </w:rPr>
              <w:t>专题宣讲：</w:t>
            </w:r>
          </w:p>
          <w:p w14:paraId="385A8E78">
            <w:pPr>
              <w:pStyle w:val="5"/>
              <w:widowControl/>
              <w:spacing w:beforeAutospacing="0" w:afterAutospacing="0" w:line="400" w:lineRule="exact"/>
              <w:jc w:val="both"/>
              <w:rPr>
                <w:rFonts w:ascii="Times New Roman" w:hAnsi="Times New Roman" w:eastAsia="仿宋"/>
                <w:bCs/>
                <w:kern w:val="2"/>
              </w:rPr>
            </w:pPr>
            <w:r>
              <w:rPr>
                <w:rFonts w:hint="eastAsia" w:ascii="Times New Roman" w:hAnsi="Times New Roman" w:eastAsia="仿宋"/>
                <w:bCs/>
                <w:kern w:val="2"/>
              </w:rPr>
              <w:t>指数高质量发展助力投资端改革</w:t>
            </w:r>
          </w:p>
          <w:p w14:paraId="07F072FF">
            <w:pPr>
              <w:pStyle w:val="5"/>
              <w:widowControl/>
              <w:spacing w:beforeAutospacing="0" w:afterAutospacing="0" w:line="400" w:lineRule="exact"/>
              <w:ind w:firstLine="480" w:firstLineChars="200"/>
              <w:jc w:val="both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2"/>
              </w:rPr>
              <w:t>——</w:t>
            </w:r>
            <w:r>
              <w:rPr>
                <w:rFonts w:hint="eastAsia" w:ascii="Times New Roman" w:hAnsi="Times New Roman" w:eastAsia="仿宋"/>
                <w:kern w:val="2"/>
              </w:rPr>
              <w:t>指数化投资趋势、创新与应用</w:t>
            </w:r>
          </w:p>
        </w:tc>
        <w:tc>
          <w:tcPr>
            <w:tcW w:w="92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235252C5"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上交所</w:t>
            </w:r>
          </w:p>
        </w:tc>
      </w:tr>
      <w:tr w14:paraId="768A7D94"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664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 w14:paraId="72244296">
            <w:pPr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85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275AED97">
            <w:pPr>
              <w:spacing w:line="320" w:lineRule="exact"/>
              <w:jc w:val="center"/>
              <w:rPr>
                <w:rFonts w:hint="default" w:ascii="Times New Roman" w:hAnsi="Times New Roman" w:eastAsia="仿宋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13</w:t>
            </w:r>
            <w:r>
              <w:rPr>
                <w:rFonts w:ascii="Times New Roman" w:hAnsi="Times New Roman" w:eastAsia="仿宋"/>
                <w:sz w:val="24"/>
              </w:rPr>
              <w:t>:</w:t>
            </w:r>
            <w:r>
              <w:rPr>
                <w:rFonts w:hint="eastAsia" w:ascii="Times New Roman" w:hAnsi="Times New Roman" w:eastAsia="仿宋"/>
                <w:sz w:val="24"/>
              </w:rPr>
              <w:t>3</w:t>
            </w:r>
            <w:r>
              <w:rPr>
                <w:rFonts w:ascii="Times New Roman" w:hAnsi="Times New Roman" w:eastAsia="仿宋"/>
                <w:sz w:val="24"/>
              </w:rPr>
              <w:t>0-1</w:t>
            </w:r>
            <w:r>
              <w:rPr>
                <w:rFonts w:hint="eastAsia" w:ascii="Times New Roman" w:hAnsi="Times New Roman" w:eastAsia="仿宋"/>
                <w:sz w:val="24"/>
              </w:rPr>
              <w:t>4</w:t>
            </w:r>
            <w:r>
              <w:rPr>
                <w:rFonts w:ascii="Times New Roman" w:hAnsi="Times New Roman" w:eastAsia="仿宋"/>
                <w:sz w:val="24"/>
              </w:rPr>
              <w:t>:</w:t>
            </w:r>
            <w:r>
              <w:rPr>
                <w:rFonts w:hint="eastAsia" w:ascii="Times New Roman" w:hAnsi="Times New Roman" w:eastAsia="仿宋"/>
                <w:sz w:val="24"/>
              </w:rPr>
              <w:t>30</w:t>
            </w:r>
          </w:p>
        </w:tc>
        <w:tc>
          <w:tcPr>
            <w:tcW w:w="2564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749EEF55">
            <w:pPr>
              <w:pStyle w:val="5"/>
              <w:widowControl/>
              <w:spacing w:beforeAutospacing="0" w:afterAutospacing="0" w:line="400" w:lineRule="exact"/>
              <w:jc w:val="both"/>
              <w:rPr>
                <w:rFonts w:ascii="Times New Roman" w:hAnsi="Times New Roman" w:eastAsia="仿宋"/>
                <w:b/>
                <w:bCs/>
                <w:kern w:val="2"/>
              </w:rPr>
            </w:pPr>
            <w:r>
              <w:rPr>
                <w:rFonts w:ascii="Times New Roman" w:hAnsi="Times New Roman" w:eastAsia="仿宋"/>
                <w:b/>
                <w:bCs/>
                <w:kern w:val="2"/>
              </w:rPr>
              <w:t>专题</w:t>
            </w:r>
            <w:r>
              <w:rPr>
                <w:rFonts w:hint="eastAsia" w:ascii="Times New Roman" w:hAnsi="Times New Roman" w:eastAsia="仿宋"/>
                <w:b/>
                <w:bCs/>
                <w:kern w:val="2"/>
              </w:rPr>
              <w:t>宣讲</w:t>
            </w:r>
            <w:r>
              <w:rPr>
                <w:rFonts w:ascii="Times New Roman" w:hAnsi="Times New Roman" w:eastAsia="仿宋"/>
                <w:b/>
                <w:bCs/>
                <w:kern w:val="2"/>
              </w:rPr>
              <w:t>：</w:t>
            </w:r>
          </w:p>
          <w:p w14:paraId="1728A37D">
            <w:pPr>
              <w:pStyle w:val="5"/>
              <w:widowControl/>
              <w:spacing w:beforeAutospacing="0" w:afterAutospacing="0" w:line="400" w:lineRule="exact"/>
              <w:jc w:val="both"/>
              <w:rPr>
                <w:rFonts w:ascii="Times New Roman" w:hAnsi="Times New Roman" w:eastAsia="仿宋"/>
                <w:bCs/>
                <w:kern w:val="2"/>
              </w:rPr>
            </w:pPr>
            <w:r>
              <w:rPr>
                <w:rFonts w:hint="eastAsia" w:ascii="Times New Roman" w:hAnsi="Times New Roman" w:eastAsia="仿宋"/>
                <w:bCs/>
                <w:kern w:val="2"/>
              </w:rPr>
              <w:t>期现联动助力资本市场高质量发展</w:t>
            </w:r>
          </w:p>
          <w:p w14:paraId="68AF29D8">
            <w:pPr>
              <w:pStyle w:val="5"/>
              <w:widowControl/>
              <w:spacing w:beforeAutospacing="0" w:afterAutospacing="0" w:line="400" w:lineRule="exact"/>
              <w:ind w:firstLine="480" w:firstLineChars="200"/>
              <w:jc w:val="both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2"/>
              </w:rPr>
              <w:t>——</w:t>
            </w:r>
            <w:r>
              <w:rPr>
                <w:rFonts w:hint="eastAsia" w:ascii="Times New Roman" w:hAnsi="Times New Roman" w:eastAsia="仿宋"/>
                <w:kern w:val="2"/>
                <w:lang w:eastAsia="zh-CN"/>
              </w:rPr>
              <w:t>金融</w:t>
            </w:r>
            <w:bookmarkStart w:id="0" w:name="_GoBack"/>
            <w:bookmarkEnd w:id="0"/>
            <w:r>
              <w:rPr>
                <w:rFonts w:hint="eastAsia" w:ascii="Times New Roman" w:hAnsi="Times New Roman" w:eastAsia="仿宋"/>
                <w:kern w:val="2"/>
              </w:rPr>
              <w:t>期货在资产管理中的运用</w:t>
            </w:r>
          </w:p>
        </w:tc>
        <w:tc>
          <w:tcPr>
            <w:tcW w:w="92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14:paraId="0DE9B3BE"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中金所</w:t>
            </w:r>
          </w:p>
        </w:tc>
      </w:tr>
      <w:tr w14:paraId="1C5EC308">
        <w:tblPrEx>
          <w:tblBorders>
            <w:top w:val="single" w:color="9CC2E5" w:sz="4" w:space="0"/>
            <w:left w:val="single" w:color="9CC2E5" w:sz="4" w:space="0"/>
            <w:bottom w:val="single" w:color="9CC2E5" w:sz="4" w:space="0"/>
            <w:right w:val="single" w:color="9CC2E5" w:sz="4" w:space="0"/>
            <w:insideH w:val="single" w:color="9CC2E5" w:sz="4" w:space="0"/>
            <w:insideV w:val="single" w:color="9CC2E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664" w:type="pct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 w14:paraId="43B888C2">
            <w:pPr>
              <w:jc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05FEC19A">
            <w:pPr>
              <w:spacing w:line="320" w:lineRule="exact"/>
              <w:jc w:val="center"/>
              <w:rPr>
                <w:rFonts w:hint="default" w:ascii="Times New Roman" w:hAnsi="Times New Roman" w:eastAsia="仿宋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"/>
                <w:sz w:val="24"/>
              </w:rPr>
              <w:t>15:</w:t>
            </w:r>
            <w:r>
              <w:rPr>
                <w:rFonts w:hint="eastAsia" w:ascii="Times New Roman" w:hAnsi="Times New Roman" w:eastAsia="仿宋"/>
                <w:sz w:val="24"/>
              </w:rPr>
              <w:t>00</w:t>
            </w:r>
            <w:r>
              <w:rPr>
                <w:rFonts w:ascii="Times New Roman" w:hAnsi="Times New Roman" w:eastAsia="仿宋"/>
                <w:sz w:val="24"/>
              </w:rPr>
              <w:t>-1</w:t>
            </w:r>
            <w:r>
              <w:rPr>
                <w:rFonts w:hint="eastAsia" w:ascii="Times New Roman" w:hAnsi="Times New Roman" w:eastAsia="仿宋"/>
                <w:sz w:val="24"/>
              </w:rPr>
              <w:t>6</w:t>
            </w:r>
            <w:r>
              <w:rPr>
                <w:rFonts w:ascii="Times New Roman" w:hAnsi="Times New Roman" w:eastAsia="仿宋"/>
                <w:sz w:val="24"/>
              </w:rPr>
              <w:t>:</w:t>
            </w:r>
            <w:r>
              <w:rPr>
                <w:rFonts w:hint="eastAsia" w:ascii="Times New Roman" w:hAnsi="Times New Roman" w:eastAsia="仿宋"/>
                <w:sz w:val="24"/>
              </w:rPr>
              <w:t>30</w:t>
            </w:r>
          </w:p>
        </w:tc>
        <w:tc>
          <w:tcPr>
            <w:tcW w:w="2564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53F8B095">
            <w:pPr>
              <w:pStyle w:val="5"/>
              <w:widowControl/>
              <w:spacing w:beforeAutospacing="0" w:afterAutospacing="0" w:line="400" w:lineRule="exact"/>
              <w:jc w:val="both"/>
              <w:rPr>
                <w:rFonts w:ascii="Times New Roman" w:hAnsi="Times New Roman" w:eastAsia="仿宋"/>
                <w:b/>
                <w:bCs/>
                <w:kern w:val="2"/>
              </w:rPr>
            </w:pPr>
            <w:r>
              <w:rPr>
                <w:rFonts w:hint="eastAsia" w:ascii="Times New Roman" w:hAnsi="Times New Roman" w:eastAsia="仿宋"/>
                <w:b/>
                <w:bCs/>
                <w:kern w:val="2"/>
              </w:rPr>
              <w:t>专题宣讲：</w:t>
            </w:r>
          </w:p>
          <w:p w14:paraId="478C5035">
            <w:pPr>
              <w:pStyle w:val="5"/>
              <w:widowControl/>
              <w:spacing w:beforeAutospacing="0" w:afterAutospacing="0" w:line="400" w:lineRule="exact"/>
              <w:jc w:val="both"/>
              <w:rPr>
                <w:rFonts w:ascii="Times New Roman" w:hAnsi="Times New Roman" w:eastAsia="仿宋"/>
                <w:bCs/>
                <w:kern w:val="2"/>
              </w:rPr>
            </w:pPr>
            <w:r>
              <w:rPr>
                <w:rFonts w:hint="eastAsia" w:ascii="Times New Roman" w:hAnsi="Times New Roman" w:eastAsia="仿宋"/>
                <w:bCs/>
                <w:kern w:val="2"/>
              </w:rPr>
              <w:t>三投资理念之价值投资</w:t>
            </w:r>
          </w:p>
          <w:p w14:paraId="5D59D4D1">
            <w:pPr>
              <w:pStyle w:val="5"/>
              <w:widowControl/>
              <w:spacing w:beforeAutospacing="0" w:afterAutospacing="0" w:line="400" w:lineRule="exact"/>
              <w:ind w:firstLine="480" w:firstLineChars="200"/>
              <w:jc w:val="both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2"/>
              </w:rPr>
              <w:t>——</w:t>
            </w:r>
            <w:r>
              <w:rPr>
                <w:rFonts w:hint="eastAsia" w:ascii="Times New Roman" w:hAnsi="Times New Roman" w:eastAsia="仿宋"/>
                <w:bCs/>
                <w:kern w:val="2"/>
              </w:rPr>
              <w:t>财务分析在投资中的实践</w:t>
            </w:r>
          </w:p>
        </w:tc>
        <w:tc>
          <w:tcPr>
            <w:tcW w:w="92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 w14:paraId="3F551DBD">
            <w:pPr>
              <w:spacing w:line="320" w:lineRule="exact"/>
              <w:jc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市场机构</w:t>
            </w:r>
          </w:p>
        </w:tc>
      </w:tr>
    </w:tbl>
    <w:p w14:paraId="028DEF58">
      <w:pPr>
        <w:jc w:val="left"/>
        <w:rPr>
          <w:rFonts w:hint="eastAsia" w:ascii="Times New Roman" w:hAnsi="Times New Roman" w:eastAsia="楷体" w:cs="宋体"/>
          <w:b/>
          <w:bCs/>
          <w:sz w:val="24"/>
        </w:rPr>
      </w:pPr>
    </w:p>
    <w:p w14:paraId="23CDCFE2">
      <w:pPr>
        <w:rPr>
          <w:rFonts w:hint="eastAsia" w:eastAsia="楷体"/>
          <w:lang w:eastAsia="zh-CN"/>
        </w:rPr>
      </w:pPr>
      <w:r>
        <w:rPr>
          <w:rFonts w:hint="eastAsia" w:ascii="Times New Roman" w:hAnsi="Times New Roman" w:eastAsia="楷体" w:cs="宋体"/>
          <w:sz w:val="24"/>
        </w:rPr>
        <w:t>（具体课程安排</w:t>
      </w:r>
      <w:r>
        <w:rPr>
          <w:rFonts w:hint="eastAsia" w:ascii="Times New Roman" w:hAnsi="Times New Roman" w:eastAsia="楷体" w:cs="宋体"/>
          <w:sz w:val="24"/>
          <w:lang w:eastAsia="zh-CN"/>
        </w:rPr>
        <w:t>可能</w:t>
      </w:r>
      <w:r>
        <w:rPr>
          <w:rFonts w:hint="eastAsia" w:ascii="Times New Roman" w:hAnsi="Times New Roman" w:eastAsia="楷体" w:cs="宋体"/>
          <w:sz w:val="24"/>
        </w:rPr>
        <w:t>根据实际情况进行调整</w:t>
      </w:r>
      <w:r>
        <w:rPr>
          <w:rFonts w:hint="eastAsia" w:ascii="Times New Roman" w:hAnsi="Times New Roman" w:eastAsia="楷体" w:cs="宋体"/>
          <w:sz w:val="24"/>
          <w:lang w:eastAsia="zh-CN"/>
        </w:rPr>
        <w:t>，以培训当天安排为准）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376BC"/>
    <w:rsid w:val="12592623"/>
    <w:rsid w:val="172F04B2"/>
    <w:rsid w:val="1C7607E8"/>
    <w:rsid w:val="26371684"/>
    <w:rsid w:val="2AF874C7"/>
    <w:rsid w:val="30450B65"/>
    <w:rsid w:val="30976D05"/>
    <w:rsid w:val="31DA3AEF"/>
    <w:rsid w:val="365E5DA3"/>
    <w:rsid w:val="39693F38"/>
    <w:rsid w:val="3AFC19D9"/>
    <w:rsid w:val="3B2A2088"/>
    <w:rsid w:val="3D3E45FC"/>
    <w:rsid w:val="540376BC"/>
    <w:rsid w:val="56260A77"/>
    <w:rsid w:val="5F6F1F5E"/>
    <w:rsid w:val="6A3A2708"/>
    <w:rsid w:val="6EDF6CBC"/>
    <w:rsid w:val="6F0E458B"/>
    <w:rsid w:val="79E9735F"/>
    <w:rsid w:val="7C7A1710"/>
    <w:rsid w:val="7E5F4018"/>
    <w:rsid w:val="7EA0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  <w:style w:type="paragraph" w:styleId="3">
    <w:name w:val="Body Text"/>
    <w:basedOn w:val="1"/>
    <w:unhideWhenUsed/>
    <w:qFormat/>
    <w:uiPriority w:val="99"/>
    <w:rPr>
      <w:rFonts w:hint="eastAsia" w:eastAsia="仿宋_GB2312"/>
      <w:sz w:val="28"/>
      <w:szCs w:val="31"/>
    </w:rPr>
  </w:style>
  <w:style w:type="paragraph" w:styleId="4">
    <w:name w:val="Subtitle"/>
    <w:basedOn w:val="1"/>
    <w:qFormat/>
    <w:uiPriority w:val="11"/>
    <w:pPr>
      <w:widowControl/>
      <w:jc w:val="center"/>
    </w:pPr>
    <w:rPr>
      <w:rFonts w:ascii="Tahoma" w:hAnsi="Tahoma"/>
      <w:kern w:val="0"/>
      <w:sz w:val="28"/>
      <w:szCs w:val="20"/>
      <w:lang w:eastAsia="en-US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customStyle="1" w:styleId="8">
    <w:name w:val="网格表 4 - 着色 11"/>
    <w:basedOn w:val="6"/>
    <w:qFormat/>
    <w:uiPriority w:val="49"/>
    <w:rPr>
      <w:rFonts w:ascii="Times New Roman" w:hAnsi="Times New Roman" w:eastAsia="宋体" w:cs="Times New Roman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paragraph" w:customStyle="1" w:styleId="9">
    <w:name w:val="正文首行缩进 21"/>
    <w:basedOn w:val="1"/>
    <w:autoRedefine/>
    <w:qFormat/>
    <w:uiPriority w:val="0"/>
    <w:pPr>
      <w:spacing w:before="100" w:beforeAutospacing="1" w:after="120"/>
      <w:ind w:left="420" w:leftChars="200" w:firstLine="210"/>
    </w:pPr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382</Characters>
  <Lines>0</Lines>
  <Paragraphs>0</Paragraphs>
  <TotalTime>0</TotalTime>
  <ScaleCrop>false</ScaleCrop>
  <LinksUpToDate>false</LinksUpToDate>
  <CharactersWithSpaces>404</CharactersWithSpaces>
  <Application>WPS Office_12.8.2.19309_F1E327BC-269C-435d-A152-05C5408002CA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2024-11-20T07:14:00Z</dcterms:created>
  <dc:creator>Administrator</dc:creator>
  <cp:lastModifiedBy>qjni</cp:lastModifiedBy>
  <dcterms:modified xsi:type="dcterms:W3CDTF">2025-04-11T01:25:36Z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2052-12.8.2.19309</vt:lpwstr>
  </property>
  <property fmtid="{D5CDD505-2E9C-101B-9397-08002B2CF9AE}" pid="3" name="ICV">
    <vt:lpwstr>A1A9D7595BFF43F59C7897482B7E7807</vt:lpwstr>
  </property>
  <property fmtid="{D5CDD505-2E9C-101B-9397-08002B2CF9AE}" pid="4" name="KSOTemplateDocerSaveRecord">
    <vt:lpwstr>eyJoZGlkIjoiN2VhMTVlMDQzMTlmNjgzNGJhMTA4N2Q4NDFhMTM0YTQiLCJ1c2VySWQiOiI0MzE1NzI1NjIifQ==</vt:lpwstr>
  </property>
</Properties>
</file>