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4F0BF">
      <w:pPr>
        <w:widowControl/>
        <w:snapToGrid w:val="0"/>
        <w:spacing w:line="50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/>
          <w:bCs/>
          <w:kern w:val="44"/>
          <w:sz w:val="30"/>
          <w:szCs w:val="30"/>
        </w:rPr>
        <w:t>附件1：</w:t>
      </w:r>
    </w:p>
    <w:p w14:paraId="51B52E03">
      <w:pPr>
        <w:jc w:val="center"/>
        <w:rPr>
          <w:rFonts w:hint="eastAsia" w:ascii="Times New Roman" w:hAnsi="Times New Roman" w:eastAsia="黑体"/>
          <w:bCs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/>
          <w:bCs/>
          <w:kern w:val="0"/>
          <w:sz w:val="30"/>
          <w:szCs w:val="30"/>
          <w:lang w:val="en-US" w:eastAsia="zh-CN"/>
        </w:rPr>
        <w:t>践行三投资理念，促进高质量发展</w:t>
      </w:r>
    </w:p>
    <w:p w14:paraId="1FDBA4A1">
      <w:pPr>
        <w:jc w:val="center"/>
        <w:rPr>
          <w:rFonts w:hint="eastAsia" w:ascii="Times New Roman" w:hAnsi="Times New Roman" w:eastAsia="黑体"/>
          <w:bCs/>
          <w:kern w:val="0"/>
          <w:sz w:val="30"/>
          <w:szCs w:val="30"/>
        </w:rPr>
      </w:pPr>
      <w:r>
        <w:rPr>
          <w:rFonts w:hint="eastAsia" w:ascii="Times New Roman" w:hAnsi="Times New Roman" w:eastAsia="黑体"/>
          <w:bCs/>
          <w:kern w:val="0"/>
          <w:sz w:val="30"/>
          <w:szCs w:val="30"/>
        </w:rPr>
        <w:t>上海证券交易所机构投资者服务长三角行（杭州站）</w:t>
      </w:r>
    </w:p>
    <w:p w14:paraId="498F2AA4">
      <w:pPr>
        <w:jc w:val="center"/>
        <w:rPr>
          <w:rFonts w:ascii="Times New Roman" w:hAnsi="Times New Roman" w:eastAsia="黑体"/>
          <w:bCs/>
          <w:kern w:val="0"/>
          <w:sz w:val="30"/>
          <w:szCs w:val="30"/>
        </w:rPr>
      </w:pPr>
      <w:r>
        <w:rPr>
          <w:rFonts w:hint="eastAsia" w:ascii="Times New Roman" w:hAnsi="Times New Roman" w:eastAsia="黑体"/>
          <w:bCs/>
          <w:kern w:val="0"/>
          <w:sz w:val="30"/>
          <w:szCs w:val="30"/>
        </w:rPr>
        <w:t>培训课程表</w:t>
      </w:r>
    </w:p>
    <w:p w14:paraId="71E69235">
      <w:pPr>
        <w:jc w:val="left"/>
        <w:rPr>
          <w:rFonts w:hint="eastAsia" w:ascii="Times New Roman" w:hAnsi="Times New Roman" w:eastAsia="楷体" w:cs="宋体"/>
          <w:b/>
          <w:bCs/>
          <w:sz w:val="24"/>
        </w:rPr>
      </w:pPr>
    </w:p>
    <w:p w14:paraId="45F70111">
      <w:pPr>
        <w:jc w:val="left"/>
        <w:rPr>
          <w:rFonts w:hint="eastAsia" w:ascii="Times New Roman" w:hAnsi="Times New Roman" w:eastAsia="楷体" w:cs="宋体"/>
          <w:b/>
          <w:bCs/>
          <w:sz w:val="22"/>
          <w:szCs w:val="21"/>
        </w:rPr>
      </w:pPr>
      <w:r>
        <w:rPr>
          <w:rFonts w:hint="eastAsia" w:ascii="Times New Roman" w:hAnsi="Times New Roman" w:eastAsia="楷体" w:cs="宋体"/>
          <w:b/>
          <w:bCs/>
          <w:sz w:val="24"/>
        </w:rPr>
        <w:t>培训地点：</w:t>
      </w:r>
      <w:r>
        <w:rPr>
          <w:rFonts w:hint="eastAsia" w:ascii="Times New Roman" w:hAnsi="Times New Roman" w:eastAsia="楷体" w:cs="宋体"/>
          <w:b/>
          <w:bCs/>
          <w:sz w:val="24"/>
          <w:lang w:val="en-US" w:eastAsia="zh-CN"/>
        </w:rPr>
        <w:t>杭州明豪voco酒店三楼明豪厅（杭州市滨江区江南大道558号）</w:t>
      </w:r>
    </w:p>
    <w:tbl>
      <w:tblPr>
        <w:tblStyle w:val="6"/>
        <w:tblpPr w:leftFromText="180" w:rightFromText="180" w:vertAnchor="text" w:horzAnchor="page" w:tblpX="1660" w:tblpY="109"/>
        <w:tblOverlap w:val="never"/>
        <w:tblW w:w="5222" w:type="pct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514"/>
        <w:gridCol w:w="4338"/>
        <w:gridCol w:w="1866"/>
      </w:tblGrid>
      <w:tr w14:paraId="09D26732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14" w:type="pct"/>
            <w:gridSpan w:val="2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</w:tcBorders>
            <w:shd w:val="clear" w:color="auto" w:fill="4F81BD"/>
          </w:tcPr>
          <w:p w14:paraId="243F9529">
            <w:pPr>
              <w:jc w:val="center"/>
              <w:rPr>
                <w:rFonts w:ascii="Times New Roman" w:hAnsi="Times New Roman" w:eastAsia="仿宋_GB2312"/>
                <w:b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FFFF"/>
                <w:kern w:val="0"/>
                <w:sz w:val="28"/>
                <w:szCs w:val="28"/>
              </w:rPr>
              <w:t>培训日程</w:t>
            </w:r>
          </w:p>
        </w:tc>
        <w:tc>
          <w:tcPr>
            <w:tcW w:w="2436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</w:tcBorders>
            <w:shd w:val="clear" w:color="auto" w:fill="4F81BD"/>
          </w:tcPr>
          <w:p w14:paraId="7BB80466">
            <w:pPr>
              <w:jc w:val="center"/>
              <w:rPr>
                <w:rFonts w:ascii="Times New Roman" w:hAnsi="Times New Roman" w:eastAsia="仿宋_GB2312"/>
                <w:b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FFFF"/>
                <w:kern w:val="0"/>
                <w:sz w:val="28"/>
                <w:szCs w:val="28"/>
              </w:rPr>
              <w:t>具体环节课程安排</w:t>
            </w:r>
          </w:p>
        </w:tc>
        <w:tc>
          <w:tcPr>
            <w:tcW w:w="1048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</w:tcBorders>
            <w:shd w:val="clear" w:color="auto" w:fill="4F81BD"/>
          </w:tcPr>
          <w:p w14:paraId="39177AF3">
            <w:pPr>
              <w:jc w:val="center"/>
              <w:rPr>
                <w:rFonts w:ascii="Times New Roman" w:hAnsi="Times New Roman" w:eastAsia="仿宋_GB2312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FFFF"/>
                <w:kern w:val="0"/>
                <w:sz w:val="28"/>
                <w:szCs w:val="28"/>
              </w:rPr>
              <w:t>授课师资</w:t>
            </w:r>
          </w:p>
        </w:tc>
      </w:tr>
      <w:tr w14:paraId="4850868B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64" w:type="pct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44C2AF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月27日</w:t>
            </w:r>
          </w:p>
          <w:p w14:paraId="791BA090">
            <w:pPr>
              <w:pStyle w:val="2"/>
              <w:ind w:left="0" w:leftChars="0" w:firstLine="0" w:firstLineChars="0"/>
              <w:rPr>
                <w:rFonts w:hint="eastAsia" w:eastAsia="仿宋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周四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5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796C0FE4">
            <w:pPr>
              <w:jc w:val="center"/>
              <w:rPr>
                <w:rFonts w:hint="default" w:ascii="Times New Roman" w:hAnsi="Times New Roman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9:30-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 w:eastAsia="仿宋" w:cs="Times New Roman"/>
                <w:sz w:val="24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45</w:t>
            </w:r>
          </w:p>
        </w:tc>
        <w:tc>
          <w:tcPr>
            <w:tcW w:w="243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27041568">
            <w:pPr>
              <w:pStyle w:val="9"/>
              <w:spacing w:before="0" w:beforeAutospacing="0" w:after="0"/>
              <w:ind w:left="0" w:leftChars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开班、致辞</w:t>
            </w:r>
          </w:p>
        </w:tc>
        <w:tc>
          <w:tcPr>
            <w:tcW w:w="1048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229ADC39">
            <w:pPr>
              <w:ind w:firstLine="480" w:firstLineChars="200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上交所</w:t>
            </w:r>
          </w:p>
        </w:tc>
      </w:tr>
      <w:tr w14:paraId="3F60E00F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64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415951C3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1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5873B4">
            <w:pPr>
              <w:spacing w:line="320" w:lineRule="exact"/>
              <w:jc w:val="center"/>
              <w:rPr>
                <w:rFonts w:hint="default" w:ascii="Times New Roman" w:hAnsi="Times New Roman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9</w:t>
            </w:r>
            <w:r>
              <w:rPr>
                <w:rFonts w:ascii="Times New Roman" w:hAnsi="Times New Roman" w:eastAsia="仿宋" w:cs="Times New Roman"/>
                <w:sz w:val="24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45</w:t>
            </w:r>
            <w:r>
              <w:rPr>
                <w:rFonts w:ascii="Times New Roman" w:hAnsi="Times New Roman" w:eastAsia="仿宋" w:cs="Times New Roman"/>
                <w:sz w:val="24"/>
              </w:rPr>
              <w:t>-1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0</w:t>
            </w:r>
            <w:r>
              <w:rPr>
                <w:rFonts w:ascii="Times New Roman" w:hAnsi="Times New Roman" w:eastAsia="仿宋" w:cs="Times New Roman"/>
                <w:sz w:val="24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45</w:t>
            </w:r>
          </w:p>
        </w:tc>
        <w:tc>
          <w:tcPr>
            <w:tcW w:w="43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CF4214F">
            <w:pPr>
              <w:pStyle w:val="5"/>
              <w:widowControl/>
              <w:spacing w:beforeAutospacing="0" w:afterAutospacing="0" w:line="400" w:lineRule="exact"/>
              <w:ind w:left="1928" w:hanging="1928" w:hangingChars="800"/>
              <w:jc w:val="both"/>
              <w:rPr>
                <w:rFonts w:ascii="Times New Roman" w:hAnsi="Times New Roman" w:eastAsia="仿宋"/>
                <w:b/>
                <w:bCs/>
                <w:kern w:val="2"/>
              </w:rPr>
            </w:pPr>
            <w:r>
              <w:rPr>
                <w:rFonts w:ascii="Times New Roman" w:hAnsi="Times New Roman" w:eastAsia="仿宋"/>
                <w:b/>
                <w:bCs/>
                <w:kern w:val="2"/>
              </w:rPr>
              <w:t>专题</w:t>
            </w:r>
            <w:r>
              <w:rPr>
                <w:rFonts w:hint="eastAsia" w:ascii="Times New Roman" w:hAnsi="Times New Roman" w:eastAsia="仿宋"/>
                <w:b/>
                <w:bCs/>
                <w:kern w:val="2"/>
              </w:rPr>
              <w:t>宣讲</w:t>
            </w:r>
            <w:r>
              <w:rPr>
                <w:rFonts w:ascii="Times New Roman" w:hAnsi="Times New Roman" w:eastAsia="仿宋"/>
                <w:b/>
                <w:bCs/>
                <w:kern w:val="2"/>
              </w:rPr>
              <w:t>：</w:t>
            </w:r>
          </w:p>
          <w:p w14:paraId="7EC9473B">
            <w:pPr>
              <w:pStyle w:val="5"/>
              <w:widowControl/>
              <w:spacing w:beforeAutospacing="0" w:afterAutospacing="0" w:line="400" w:lineRule="exact"/>
              <w:ind w:left="1920" w:hanging="1920" w:hangingChars="800"/>
              <w:rPr>
                <w:rFonts w:hint="eastAsia" w:ascii="Times New Roman" w:hAnsi="Times New Roman" w:eastAsia="仿宋"/>
                <w:kern w:val="2"/>
              </w:rPr>
            </w:pPr>
            <w:r>
              <w:rPr>
                <w:rFonts w:hint="eastAsia" w:ascii="Times New Roman" w:hAnsi="Times New Roman" w:eastAsia="仿宋"/>
                <w:bCs/>
                <w:kern w:val="2"/>
              </w:rPr>
              <w:t>新时代·新机遇</w:t>
            </w:r>
            <w:r>
              <w:rPr>
                <w:rFonts w:hint="eastAsia" w:ascii="Times New Roman" w:hAnsi="Times New Roman" w:eastAsia="仿宋"/>
                <w:kern w:val="2"/>
              </w:rPr>
              <w:t xml:space="preserve">            </w:t>
            </w:r>
          </w:p>
          <w:p w14:paraId="5DD6C296">
            <w:pPr>
              <w:pStyle w:val="5"/>
              <w:widowControl/>
              <w:spacing w:beforeAutospacing="0" w:afterAutospacing="0" w:line="400" w:lineRule="exact"/>
              <w:ind w:left="1920" w:leftChars="0" w:hanging="1920" w:hangingChars="800"/>
              <w:jc w:val="righ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2"/>
              </w:rPr>
              <w:t>——</w:t>
            </w:r>
            <w:r>
              <w:rPr>
                <w:rFonts w:hint="eastAsia" w:ascii="Times New Roman" w:hAnsi="Times New Roman" w:eastAsia="仿宋"/>
                <w:kern w:val="2"/>
              </w:rPr>
              <w:t>2025年资本市场投资展望</w:t>
            </w:r>
          </w:p>
        </w:tc>
        <w:tc>
          <w:tcPr>
            <w:tcW w:w="18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6FFF6D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市场机构</w:t>
            </w:r>
          </w:p>
        </w:tc>
      </w:tr>
      <w:tr w14:paraId="75C971CB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664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7310E14B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1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33C3BEAC">
            <w:pPr>
              <w:spacing w:line="320" w:lineRule="exact"/>
              <w:jc w:val="center"/>
              <w:rPr>
                <w:rFonts w:hint="default" w:ascii="Times New Roman" w:hAnsi="Times New Roman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1</w:t>
            </w:r>
            <w:r>
              <w:rPr>
                <w:rFonts w:ascii="Times New Roman" w:hAnsi="Times New Roman" w:eastAsia="仿宋" w:cs="Times New Roman"/>
                <w:sz w:val="24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0</w:t>
            </w:r>
            <w:r>
              <w:rPr>
                <w:rFonts w:ascii="Times New Roman" w:hAnsi="Times New Roman" w:eastAsia="仿宋" w:cs="Times New Roman"/>
                <w:sz w:val="24"/>
              </w:rPr>
              <w:t>0-1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2</w:t>
            </w:r>
            <w:r>
              <w:rPr>
                <w:rFonts w:ascii="Times New Roman" w:hAnsi="Times New Roman" w:eastAsia="仿宋" w:cs="Times New Roman"/>
                <w:sz w:val="24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00</w:t>
            </w:r>
          </w:p>
        </w:tc>
        <w:tc>
          <w:tcPr>
            <w:tcW w:w="43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74496033">
            <w:pPr>
              <w:pStyle w:val="5"/>
              <w:widowControl/>
              <w:spacing w:beforeAutospacing="0" w:afterAutospacing="0" w:line="400" w:lineRule="exact"/>
              <w:rPr>
                <w:rFonts w:ascii="Times New Roman" w:hAnsi="Times New Roman" w:eastAsia="仿宋"/>
                <w:b/>
                <w:bCs/>
                <w:kern w:val="2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2"/>
              </w:rPr>
              <w:t>专题宣讲：</w:t>
            </w:r>
          </w:p>
          <w:p w14:paraId="6A42A937">
            <w:pPr>
              <w:pStyle w:val="5"/>
              <w:widowControl/>
              <w:spacing w:beforeAutospacing="0" w:afterAutospacing="0" w:line="400" w:lineRule="exact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hint="eastAsia" w:ascii="Times New Roman" w:hAnsi="Times New Roman" w:eastAsia="仿宋"/>
                <w:bCs/>
                <w:kern w:val="2"/>
              </w:rPr>
              <w:t>指数高质量发展助力投资端改革</w:t>
            </w:r>
          </w:p>
          <w:p w14:paraId="07F072FF">
            <w:pPr>
              <w:pStyle w:val="5"/>
              <w:widowControl/>
              <w:spacing w:beforeAutospacing="0" w:afterAutospacing="0" w:line="400" w:lineRule="exact"/>
              <w:jc w:val="righ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2"/>
              </w:rPr>
              <w:t>——</w:t>
            </w:r>
            <w:r>
              <w:rPr>
                <w:rFonts w:hint="eastAsia" w:ascii="Times New Roman" w:hAnsi="Times New Roman" w:eastAsia="仿宋"/>
                <w:kern w:val="2"/>
              </w:rPr>
              <w:t>指数化投资趋势、创新与应用</w:t>
            </w:r>
          </w:p>
        </w:tc>
        <w:tc>
          <w:tcPr>
            <w:tcW w:w="18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235252C5"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上交所</w:t>
            </w:r>
          </w:p>
        </w:tc>
      </w:tr>
      <w:tr w14:paraId="768A7D94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664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72244296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1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5AED97">
            <w:pPr>
              <w:spacing w:line="320" w:lineRule="exact"/>
              <w:jc w:val="center"/>
              <w:rPr>
                <w:rFonts w:hint="default" w:ascii="Times New Roman" w:hAnsi="Times New Roman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13</w:t>
            </w:r>
            <w:r>
              <w:rPr>
                <w:rFonts w:ascii="Times New Roman" w:hAnsi="Times New Roman" w:eastAsia="仿宋" w:cs="Times New Roman"/>
                <w:sz w:val="24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3</w:t>
            </w:r>
            <w:r>
              <w:rPr>
                <w:rFonts w:ascii="Times New Roman" w:hAnsi="Times New Roman" w:eastAsia="仿宋" w:cs="Times New Roman"/>
                <w:sz w:val="24"/>
              </w:rPr>
              <w:t>0-1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4</w:t>
            </w:r>
            <w:r>
              <w:rPr>
                <w:rFonts w:ascii="Times New Roman" w:hAnsi="Times New Roman" w:eastAsia="仿宋" w:cs="Times New Roman"/>
                <w:sz w:val="24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30</w:t>
            </w:r>
          </w:p>
        </w:tc>
        <w:tc>
          <w:tcPr>
            <w:tcW w:w="43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8775EBC">
            <w:pPr>
              <w:pStyle w:val="5"/>
              <w:widowControl/>
              <w:spacing w:beforeAutospacing="0" w:afterAutospacing="0" w:line="400" w:lineRule="exact"/>
              <w:rPr>
                <w:rFonts w:ascii="Times New Roman" w:hAnsi="Times New Roman" w:eastAsia="仿宋"/>
                <w:b/>
                <w:bCs/>
                <w:kern w:val="2"/>
              </w:rPr>
            </w:pPr>
            <w:r>
              <w:rPr>
                <w:rFonts w:ascii="Times New Roman" w:hAnsi="Times New Roman" w:eastAsia="仿宋"/>
                <w:b/>
                <w:bCs/>
                <w:kern w:val="2"/>
              </w:rPr>
              <w:t>专题</w:t>
            </w:r>
            <w:r>
              <w:rPr>
                <w:rFonts w:hint="eastAsia" w:ascii="Times New Roman" w:hAnsi="Times New Roman" w:eastAsia="仿宋"/>
                <w:b/>
                <w:bCs/>
                <w:kern w:val="2"/>
              </w:rPr>
              <w:t>宣讲</w:t>
            </w:r>
            <w:r>
              <w:rPr>
                <w:rFonts w:ascii="Times New Roman" w:hAnsi="Times New Roman" w:eastAsia="仿宋"/>
                <w:b/>
                <w:bCs/>
                <w:kern w:val="2"/>
              </w:rPr>
              <w:t>：</w:t>
            </w:r>
          </w:p>
          <w:p w14:paraId="00A95EA2">
            <w:pPr>
              <w:pStyle w:val="5"/>
              <w:widowControl/>
              <w:spacing w:beforeAutospacing="0" w:afterAutospacing="0" w:line="400" w:lineRule="exact"/>
              <w:rPr>
                <w:rFonts w:ascii="Times New Roman" w:hAnsi="Times New Roman" w:eastAsia="仿宋"/>
                <w:kern w:val="2"/>
              </w:rPr>
            </w:pPr>
            <w:r>
              <w:rPr>
                <w:rFonts w:hint="eastAsia" w:ascii="Times New Roman" w:hAnsi="Times New Roman" w:eastAsia="仿宋"/>
                <w:kern w:val="2"/>
              </w:rPr>
              <w:t>资管机构产品路在何方</w:t>
            </w:r>
          </w:p>
          <w:p w14:paraId="68AF29D8">
            <w:pPr>
              <w:pStyle w:val="5"/>
              <w:widowControl/>
              <w:spacing w:beforeAutospacing="0" w:afterAutospacing="0" w:line="400" w:lineRule="exact"/>
              <w:jc w:val="righ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2"/>
              </w:rPr>
              <w:t>——</w:t>
            </w:r>
            <w:r>
              <w:rPr>
                <w:rFonts w:hint="eastAsia" w:ascii="Times New Roman" w:hAnsi="Times New Roman" w:eastAsia="仿宋"/>
                <w:kern w:val="2"/>
              </w:rPr>
              <w:t>金融创新型工具实践与展望</w:t>
            </w:r>
          </w:p>
        </w:tc>
        <w:tc>
          <w:tcPr>
            <w:tcW w:w="18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E9B3BE"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市场</w:t>
            </w:r>
            <w:r>
              <w:rPr>
                <w:rFonts w:ascii="Times New Roman" w:hAnsi="Times New Roman" w:eastAsia="仿宋" w:cs="Times New Roman"/>
                <w:sz w:val="24"/>
              </w:rPr>
              <w:t>机构</w:t>
            </w:r>
          </w:p>
        </w:tc>
      </w:tr>
      <w:tr w14:paraId="1C5EC308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664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43B888C2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05FEC19A">
            <w:pPr>
              <w:spacing w:line="320" w:lineRule="exact"/>
              <w:jc w:val="center"/>
              <w:rPr>
                <w:rFonts w:hint="default" w:ascii="Times New Roman" w:hAnsi="Times New Roman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4</w:t>
            </w:r>
            <w:r>
              <w:rPr>
                <w:rFonts w:ascii="Times New Roman" w:hAnsi="Times New Roman" w:eastAsia="仿宋" w:cs="Times New Roman"/>
                <w:sz w:val="24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45</w:t>
            </w:r>
            <w:r>
              <w:rPr>
                <w:rFonts w:ascii="Times New Roman" w:hAnsi="Times New Roman" w:eastAsia="仿宋" w:cs="Times New Roman"/>
                <w:sz w:val="24"/>
              </w:rPr>
              <w:t>-1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5</w:t>
            </w:r>
            <w:r>
              <w:rPr>
                <w:rFonts w:ascii="Times New Roman" w:hAnsi="Times New Roman" w:eastAsia="仿宋" w:cs="Times New Roman"/>
                <w:sz w:val="24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45</w:t>
            </w:r>
          </w:p>
        </w:tc>
        <w:tc>
          <w:tcPr>
            <w:tcW w:w="43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7E5F2F6B">
            <w:pPr>
              <w:pStyle w:val="5"/>
              <w:widowControl/>
              <w:spacing w:beforeAutospacing="0" w:afterAutospacing="0" w:line="400" w:lineRule="exact"/>
              <w:rPr>
                <w:rFonts w:ascii="Times New Roman" w:hAnsi="Times New Roman" w:eastAsia="仿宋"/>
                <w:b/>
                <w:bCs/>
                <w:kern w:val="2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2"/>
              </w:rPr>
              <w:t>专题宣讲：</w:t>
            </w:r>
          </w:p>
          <w:p w14:paraId="477E75BC">
            <w:pPr>
              <w:pStyle w:val="5"/>
              <w:widowControl/>
              <w:spacing w:beforeAutospacing="0" w:afterAutospacing="0" w:line="400" w:lineRule="exact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hint="eastAsia" w:ascii="Times New Roman" w:hAnsi="Times New Roman" w:eastAsia="仿宋"/>
                <w:bCs/>
                <w:kern w:val="2"/>
              </w:rPr>
              <w:t>期现联动助力资本市场高质量发展</w:t>
            </w:r>
          </w:p>
          <w:p w14:paraId="5D59D4D1">
            <w:pPr>
              <w:pStyle w:val="5"/>
              <w:widowControl/>
              <w:spacing w:beforeAutospacing="0" w:afterAutospacing="0" w:line="400" w:lineRule="exact"/>
              <w:jc w:val="righ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2"/>
              </w:rPr>
              <w:t xml:space="preserve">          </w:t>
            </w:r>
            <w:r>
              <w:rPr>
                <w:rFonts w:ascii="Times New Roman" w:hAnsi="Times New Roman" w:eastAsia="仿宋"/>
                <w:kern w:val="2"/>
              </w:rPr>
              <w:t>——</w:t>
            </w:r>
            <w:r>
              <w:rPr>
                <w:rFonts w:hint="eastAsia" w:ascii="Times New Roman" w:hAnsi="Times New Roman" w:eastAsia="仿宋"/>
                <w:kern w:val="2"/>
              </w:rPr>
              <w:t>股指期货在资产管理中的运用</w:t>
            </w:r>
          </w:p>
        </w:tc>
        <w:tc>
          <w:tcPr>
            <w:tcW w:w="18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3F551DBD"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市场机构</w:t>
            </w:r>
          </w:p>
        </w:tc>
      </w:tr>
      <w:tr w14:paraId="32792514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664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36AA014E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69A0CAA1">
            <w:pPr>
              <w:spacing w:line="320" w:lineRule="exact"/>
              <w:jc w:val="center"/>
              <w:rPr>
                <w:rFonts w:hint="default" w:ascii="Times New Roman" w:hAnsi="Times New Roman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6</w:t>
            </w:r>
            <w:r>
              <w:rPr>
                <w:rFonts w:ascii="Times New Roman" w:hAnsi="Times New Roman" w:eastAsia="仿宋" w:cs="Times New Roman"/>
                <w:sz w:val="24"/>
              </w:rPr>
              <w:t>:00-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17</w:t>
            </w:r>
            <w:r>
              <w:rPr>
                <w:rFonts w:ascii="Times New Roman" w:hAnsi="Times New Roman" w:eastAsia="仿宋" w:cs="Times New Roman"/>
                <w:sz w:val="24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00</w:t>
            </w:r>
          </w:p>
        </w:tc>
        <w:tc>
          <w:tcPr>
            <w:tcW w:w="43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7C87F1F0">
            <w:pPr>
              <w:pStyle w:val="5"/>
              <w:widowControl/>
              <w:spacing w:beforeAutospacing="0" w:afterAutospacing="0" w:line="400" w:lineRule="exact"/>
              <w:rPr>
                <w:rFonts w:ascii="Times New Roman" w:hAnsi="Times New Roman" w:eastAsia="仿宋"/>
                <w:b/>
                <w:bCs/>
                <w:kern w:val="2"/>
              </w:rPr>
            </w:pPr>
            <w:r>
              <w:rPr>
                <w:rFonts w:ascii="Times New Roman" w:hAnsi="Times New Roman" w:eastAsia="仿宋"/>
                <w:b/>
                <w:bCs/>
                <w:kern w:val="2"/>
              </w:rPr>
              <w:t>专题</w:t>
            </w:r>
            <w:r>
              <w:rPr>
                <w:rFonts w:hint="eastAsia" w:ascii="Times New Roman" w:hAnsi="Times New Roman" w:eastAsia="仿宋"/>
                <w:b/>
                <w:bCs/>
                <w:kern w:val="2"/>
              </w:rPr>
              <w:t>宣讲</w:t>
            </w:r>
            <w:r>
              <w:rPr>
                <w:rFonts w:ascii="Times New Roman" w:hAnsi="Times New Roman" w:eastAsia="仿宋"/>
                <w:b/>
                <w:bCs/>
                <w:kern w:val="2"/>
              </w:rPr>
              <w:t>：</w:t>
            </w:r>
          </w:p>
          <w:p w14:paraId="24A2A65D">
            <w:pPr>
              <w:pStyle w:val="5"/>
              <w:widowControl/>
              <w:spacing w:beforeAutospacing="0" w:afterAutospacing="0" w:line="400" w:lineRule="exact"/>
              <w:rPr>
                <w:rFonts w:ascii="Times New Roman" w:hAnsi="Times New Roman" w:eastAsia="仿宋"/>
                <w:kern w:val="2"/>
              </w:rPr>
            </w:pPr>
            <w:r>
              <w:rPr>
                <w:rFonts w:hint="eastAsia" w:ascii="Times New Roman" w:hAnsi="Times New Roman" w:eastAsia="仿宋"/>
                <w:kern w:val="2"/>
              </w:rPr>
              <w:t>人工智能在投资中的实践和应用</w:t>
            </w:r>
          </w:p>
          <w:p w14:paraId="1E41CE5E">
            <w:pPr>
              <w:pStyle w:val="5"/>
              <w:widowControl/>
              <w:spacing w:beforeAutospacing="0" w:afterAutospacing="0" w:line="400" w:lineRule="exact"/>
              <w:ind w:firstLine="720" w:firstLineChars="300"/>
              <w:jc w:val="righ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kern w:val="2"/>
              </w:rPr>
              <w:t>——</w:t>
            </w:r>
            <w:r>
              <w:rPr>
                <w:rFonts w:hint="eastAsia" w:ascii="Times New Roman" w:hAnsi="Times New Roman" w:eastAsia="仿宋"/>
                <w:kern w:val="2"/>
              </w:rPr>
              <w:t>AI如何赋能投研</w:t>
            </w:r>
          </w:p>
        </w:tc>
        <w:tc>
          <w:tcPr>
            <w:tcW w:w="18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 w14:paraId="00EEF1C4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市场机构</w:t>
            </w:r>
          </w:p>
        </w:tc>
      </w:tr>
    </w:tbl>
    <w:p w14:paraId="455E0AAC">
      <w:pPr>
        <w:jc w:val="left"/>
        <w:rPr>
          <w:rFonts w:hint="eastAsia" w:ascii="Times New Roman" w:hAnsi="Times New Roman" w:eastAsia="楷体" w:cs="宋体"/>
          <w:b/>
          <w:bCs/>
          <w:sz w:val="24"/>
        </w:rPr>
      </w:pPr>
    </w:p>
    <w:p w14:paraId="23CDCFE2">
      <w:pPr>
        <w:rPr>
          <w:rFonts w:hint="eastAsia" w:eastAsia="楷体"/>
          <w:lang w:eastAsia="zh-CN"/>
        </w:rPr>
      </w:pPr>
      <w:r>
        <w:rPr>
          <w:rFonts w:hint="eastAsia" w:ascii="Times New Roman" w:hAnsi="Times New Roman" w:eastAsia="楷体" w:cs="宋体"/>
          <w:sz w:val="24"/>
        </w:rPr>
        <w:t>（具体课程安排</w:t>
      </w:r>
      <w:r>
        <w:rPr>
          <w:rFonts w:hint="eastAsia" w:ascii="Times New Roman" w:hAnsi="Times New Roman" w:eastAsia="楷体" w:cs="宋体"/>
          <w:sz w:val="24"/>
          <w:lang w:eastAsia="zh-CN"/>
        </w:rPr>
        <w:t>可能</w:t>
      </w:r>
      <w:r>
        <w:rPr>
          <w:rFonts w:hint="eastAsia" w:ascii="Times New Roman" w:hAnsi="Times New Roman" w:eastAsia="楷体" w:cs="宋体"/>
          <w:sz w:val="24"/>
        </w:rPr>
        <w:t>根据实际情况进行调整</w:t>
      </w:r>
      <w:r>
        <w:rPr>
          <w:rFonts w:hint="eastAsia" w:ascii="Times New Roman" w:hAnsi="Times New Roman" w:eastAsia="楷体" w:cs="宋体"/>
          <w:sz w:val="24"/>
          <w:lang w:eastAsia="zh-CN"/>
        </w:rPr>
        <w:t>，以培训当天安排为准）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376BC"/>
    <w:rsid w:val="12592623"/>
    <w:rsid w:val="172F04B2"/>
    <w:rsid w:val="26371684"/>
    <w:rsid w:val="2AF874C7"/>
    <w:rsid w:val="30450B65"/>
    <w:rsid w:val="30976D05"/>
    <w:rsid w:val="31DA3AEF"/>
    <w:rsid w:val="39693F38"/>
    <w:rsid w:val="3AFC19D9"/>
    <w:rsid w:val="3B2A2088"/>
    <w:rsid w:val="540376BC"/>
    <w:rsid w:val="56260A77"/>
    <w:rsid w:val="5F6F1F5E"/>
    <w:rsid w:val="6A3A2708"/>
    <w:rsid w:val="6EDF6CBC"/>
    <w:rsid w:val="79E9735F"/>
    <w:rsid w:val="7C7A1710"/>
    <w:rsid w:val="7E5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Body Text"/>
    <w:basedOn w:val="1"/>
    <w:unhideWhenUsed/>
    <w:qFormat/>
    <w:uiPriority w:val="99"/>
    <w:rPr>
      <w:rFonts w:hint="eastAsia" w:eastAsia="仿宋_GB2312"/>
      <w:sz w:val="28"/>
      <w:szCs w:val="31"/>
    </w:rPr>
  </w:style>
  <w:style w:type="paragraph" w:styleId="4">
    <w:name w:val="Subtitle"/>
    <w:basedOn w:val="1"/>
    <w:qFormat/>
    <w:uiPriority w:val="11"/>
    <w:pPr>
      <w:widowControl/>
      <w:jc w:val="center"/>
    </w:pPr>
    <w:rPr>
      <w:rFonts w:ascii="Tahoma" w:hAnsi="Tahoma"/>
      <w:kern w:val="0"/>
      <w:sz w:val="28"/>
      <w:szCs w:val="20"/>
      <w:lang w:eastAsia="en-US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8">
    <w:name w:val="网格表 4 - 着色 11"/>
    <w:basedOn w:val="6"/>
    <w:qFormat/>
    <w:uiPriority w:val="49"/>
    <w:rPr>
      <w:rFonts w:ascii="Times New Roman" w:hAnsi="Times New Roman" w:eastAsia="宋体" w:cs="Times New Roman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paragraph" w:customStyle="1" w:styleId="9">
    <w:name w:val="正文首行缩进 21"/>
    <w:basedOn w:val="1"/>
    <w:autoRedefine/>
    <w:qFormat/>
    <w:uiPriority w:val="0"/>
    <w:pPr>
      <w:spacing w:before="100" w:beforeAutospacing="1" w:after="120"/>
      <w:ind w:left="420" w:leftChars="200" w:firstLine="21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383</Characters>
  <Lines>0</Lines>
  <Paragraphs>0</Paragraphs>
  <TotalTime>2</TotalTime>
  <ScaleCrop>false</ScaleCrop>
  <LinksUpToDate>false</LinksUpToDate>
  <CharactersWithSpaces>405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2024-11-20T07:14:00Z</dcterms:created>
  <dc:creator>Administrator</dc:creator>
  <cp:lastModifiedBy>倪琦竣</cp:lastModifiedBy>
  <dcterms:modified xsi:type="dcterms:W3CDTF">2025-03-17T01:23:19Z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A1A9D7595BFF43F59C7897482B7E7807</vt:lpwstr>
  </property>
  <property fmtid="{D5CDD505-2E9C-101B-9397-08002B2CF9AE}" pid="4" name="KSOTemplateDocerSaveRecord">
    <vt:lpwstr>eyJoZGlkIjoiYWZkODgyMjgxMzlkZjVhYmVhZmY5YjQ1OGQ4Y2ZhMDIiLCJ1c2VySWQiOiI0MzE1NzI1NjIifQ==</vt:lpwstr>
  </property>
</Properties>
</file>