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widowControl/>
        <w:snapToGrid w:val="0"/>
        <w:spacing w:line="50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上交所期权策略顾问（初级班）培训</w:t>
      </w: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课程表</w:t>
      </w:r>
    </w:p>
    <w:tbl>
      <w:tblPr>
        <w:tblStyle w:val="3"/>
        <w:tblpPr w:leftFromText="180" w:rightFromText="180" w:vertAnchor="text" w:horzAnchor="page" w:tblpX="1786" w:tblpY="255"/>
        <w:tblOverlap w:val="never"/>
        <w:tblW w:w="5000" w:type="pct"/>
        <w:tblInd w:w="0" w:type="dxa"/>
        <w:tbl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single" w:color="84B4DF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6998"/>
      </w:tblGrid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nil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rPr>
                <w:rFonts w:ascii="楷体" w:hAnsi="楷体" w:eastAsia="楷体" w:cs="宋体"/>
                <w:b w:val="0"/>
                <w:bCs w:val="0"/>
                <w:color w:val="FFFFFF"/>
                <w:sz w:val="24"/>
              </w:rPr>
            </w:pPr>
            <w:r>
              <w:rPr>
                <w:rFonts w:hint="eastAsia" w:cs="宋体"/>
                <w:b/>
                <w:bCs/>
                <w:color w:val="FFFFFF"/>
                <w:sz w:val="24"/>
              </w:rPr>
              <w:t>课程名称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FFFFFF" w:sz="18" w:space="0"/>
              <w:right w:val="single" w:color="4F81BD" w:sz="8" w:space="0"/>
              <w:insideV w:val="nil"/>
            </w:tcBorders>
            <w:shd w:val="clear" w:color="auto" w:fill="4F81BD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  <w14:textFill>
                  <w14:solidFill>
                    <w14:schemeClr w14:val="bg1"/>
                  </w14:solidFill>
                </w14:textFill>
              </w:rPr>
              <w:t>培训内容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</w:trPr>
        <w:tc>
          <w:tcPr>
            <w:tcW w:w="894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第一讲：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 xml:space="preserve">期权的基础知识 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4105" w:type="pct"/>
            <w:tcBorders>
              <w:top w:val="single" w:color="FFFFFF" w:sz="1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hint="eastAsia" w:ascii="宋体" w:hAnsi="宋体" w:cs="宋体" w:eastAsiaTheme="minorEastAsia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期权的概念与基本功能；期权的合约要素、上交所股票期权的合约设计、期权的价值、影响期权价值的因素、希腊字母简介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第二讲：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单腿期权策略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买认购、卖认购、买认沽、卖认沽的盈亏分析；买入开仓的使用场景与风险点、买入开仓的90/10策略；卖出开仓的使用场景与风险点、保证金、强行平仓制度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第三讲：</w:t>
            </w:r>
          </w:p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保险策略与备兑开仓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保险策略的使用场景、盈亏分析与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；备兑开仓策略的使用场景、盈亏分析、风险特征和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注意事项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；卖出认沽买股票策略的应用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第四讲：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组合策略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入门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牛市价差组合、熊市价差组合、合成股票策略、跨式、宽跨式组合盈亏与案例分析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、组合策略保证金及其应用。</w:t>
            </w:r>
          </w:p>
        </w:tc>
      </w:tr>
      <w:tr>
        <w:tblPrEx>
          <w:tblBorders>
            <w:top w:val="single" w:color="84B4DF" w:themeColor="accent1" w:themeTint="BF" w:sz="8" w:space="0"/>
            <w:left w:val="single" w:color="84B4DF" w:themeColor="accent1" w:themeTint="BF" w:sz="8" w:space="0"/>
            <w:bottom w:val="single" w:color="84B4DF" w:themeColor="accent1" w:themeTint="BF" w:sz="8" w:space="0"/>
            <w:right w:val="single" w:color="84B4DF" w:themeColor="accent1" w:themeTint="BF" w:sz="8" w:space="0"/>
            <w:insideH w:val="single" w:color="84B4DF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exact"/>
        </w:trPr>
        <w:tc>
          <w:tcPr>
            <w:tcW w:w="894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rPr>
                <w:rFonts w:ascii="宋体" w:hAnsi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第五讲：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行权交收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限仓限购制度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，以及股票期权发展现状和实例</w:t>
            </w:r>
          </w:p>
        </w:tc>
        <w:tc>
          <w:tcPr>
            <w:tcW w:w="4105" w:type="pct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B8CCE4"/>
            <w:vAlign w:val="center"/>
          </w:tcPr>
          <w:p>
            <w:pPr>
              <w:jc w:val="lef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上交所期权行权交收制度、限仓限购制度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上交所期权市场发展情况介绍、介绍客户端使用方法和行情浏览，分享实践案例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</w:tbl>
    <w:p>
      <w:pPr>
        <w:adjustRightInd w:val="0"/>
        <w:snapToGrid w:val="0"/>
        <w:rPr>
          <w:rFonts w:ascii="Times New Roman" w:hAnsi="Times New Roman" w:eastAsia="仿宋_GB2312" w:cs="Times New Roman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rPr>
          <w:rFonts w:ascii="楷体" w:hAnsi="楷体" w:eastAsia="楷体" w:cs="宋体"/>
          <w:sz w:val="24"/>
        </w:rPr>
      </w:pPr>
      <w:r>
        <w:rPr>
          <w:rFonts w:hint="eastAsia" w:ascii="楷体" w:hAnsi="楷体" w:eastAsia="楷体" w:cs="宋体"/>
          <w:sz w:val="24"/>
        </w:rPr>
        <w:t>以培训时课程表为准。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D61AF"/>
    <w:rsid w:val="0D3176C8"/>
    <w:rsid w:val="116D61AF"/>
    <w:rsid w:val="6BD7000A"/>
    <w:rsid w:val="712F7431"/>
    <w:rsid w:val="7B1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Medium Shading 1 Accent 1"/>
    <w:basedOn w:val="2"/>
    <w:qFormat/>
    <w:uiPriority w:val="63"/>
    <w:tblPr>
      <w:tblBorders>
        <w:top w:val="single" w:color="84B4DF" w:themeColor="accent1" w:themeTint="BF" w:sz="8" w:space="0"/>
        <w:left w:val="single" w:color="84B4DF" w:themeColor="accent1" w:themeTint="BF" w:sz="8" w:space="0"/>
        <w:bottom w:val="single" w:color="84B4DF" w:themeColor="accent1" w:themeTint="BF" w:sz="8" w:space="0"/>
        <w:right w:val="single" w:color="84B4DF" w:themeColor="accent1" w:themeTint="BF" w:sz="8" w:space="0"/>
        <w:insideH w:val="single" w:color="84B4DF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84B4DF" w:themeColor="accent1" w:themeTint="BF" w:sz="8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4DF" w:themeColor="accent1" w:themeTint="BF" w:sz="6" w:space="0"/>
          <w:left w:val="single" w:color="84B4DF" w:themeColor="accent1" w:themeTint="BF" w:sz="8" w:space="0"/>
          <w:bottom w:val="single" w:color="84B4DF" w:themeColor="accent1" w:themeTint="BF" w:sz="8" w:space="0"/>
          <w:right w:val="single" w:color="84B4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428</Characters>
  <Lines>0</Lines>
  <Paragraphs>0</Paragraphs>
  <TotalTime>9</TotalTime>
  <ScaleCrop>false</ScaleCrop>
  <LinksUpToDate>false</LinksUpToDate>
  <CharactersWithSpaces>429</CharactersWithSpaces>
  <Application>WPS Office_12.8.0.16982_F1E327BC-269C-435d-A152-05C5408002CA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2024-06-03T00:35:00Z</dcterms:created>
  <dc:creator>ytzhou</dc:creator>
  <cp:lastModifiedBy>新闻</cp:lastModifiedBy>
  <dcterms:modified xsi:type="dcterms:W3CDTF">2025-03-12T08:02:26Z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2052-12.8.0.16982</vt:lpwstr>
  </property>
  <property fmtid="{D5CDD505-2E9C-101B-9397-08002B2CF9AE}" pid="3" name="ICV">
    <vt:lpwstr>1F60DA553DF348F69DCFC6A3E9402BD1_13</vt:lpwstr>
  </property>
</Properties>
</file>