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widowControl/>
        <w:snapToGrid w:val="0"/>
        <w:spacing w:line="5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上交所期权策略顾问（初级班）培训</w:t>
      </w:r>
    </w:p>
    <w:p>
      <w:pPr>
        <w:widowControl/>
        <w:snapToGrid w:val="0"/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课程表</w:t>
      </w:r>
    </w:p>
    <w:tbl>
      <w:tblPr>
        <w:tblStyle w:val="3"/>
        <w:tblpPr w:leftFromText="180" w:rightFromText="180" w:vertAnchor="text" w:horzAnchor="page" w:tblpX="1786" w:tblpY="255"/>
        <w:tblOverlap w:val="never"/>
        <w:tblW w:w="5000" w:type="pct"/>
        <w:tblInd w:w="0" w:type="dxa"/>
        <w:tbl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single" w:color="84B4DF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6998"/>
      </w:tblGrid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nil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rPr>
                <w:rFonts w:ascii="楷体" w:hAnsi="楷体" w:eastAsia="楷体" w:cs="宋体"/>
                <w:b w:val="0"/>
                <w:bCs w:val="0"/>
                <w:color w:val="FFFFFF"/>
                <w:sz w:val="24"/>
              </w:rPr>
            </w:pPr>
            <w:r>
              <w:rPr>
                <w:rFonts w:hint="eastAsia" w:cs="宋体"/>
                <w:b/>
                <w:bCs/>
                <w:color w:val="FFFFFF"/>
                <w:sz w:val="24"/>
              </w:rPr>
              <w:t>课程名称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  <w:insideV w:val="nil"/>
            </w:tcBorders>
            <w:shd w:val="clear" w:color="auto" w:fill="4F81BD"/>
            <w:vAlign w:val="center"/>
          </w:tcPr>
          <w:p>
            <w:pPr>
              <w:adjustRightInd w:val="0"/>
              <w:snapToGrid w:val="0"/>
              <w:spacing w:before="0" w:after="0" w:line="240" w:lineRule="auto"/>
              <w:jc w:val="center"/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楷体" w:hAnsi="楷体" w:eastAsia="楷体" w:cs="宋体"/>
                <w:b w:val="0"/>
                <w:bCs w:val="0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培训内容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94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第一讲：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期权的基础知识 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06" w:type="pct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hint="eastAsia" w:ascii="宋体" w:hAnsi="宋体" w:cs="宋体" w:eastAsiaTheme="minor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期权的概念与基本功能；期权的合约要素、上交所股票期权的合约设计、期权的价值、影响期权价值的因素、希腊字母简介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第二讲：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单腿期权策略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买认购、卖认购、买认沽、卖认沽的盈亏分析；买入开仓的使用场景与风险点、买入开仓的90/10策略、限仓、限购制度；卖出开仓的使用场景与风险点、保证金、强行平仓制度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第三讲：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保险策略与备兑开仓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保险策略的使用场景、盈亏分析与风险特征、投资组合的5种保险策略对比；备兑开仓策略的使用场景、盈亏分析、风险特征和收益指标；卖出认沽买股票策略的应用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第四讲：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期权基础组合策略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牛市价差组合、熊市价差组合、股票修补策略、合成股票策略、跨式、宽跨式组合盈亏与案例分析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第五讲：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行权交收及限仓限购制度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上交所期权行权交收制度、限仓限购制度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84B4DF" w:themeColor="accent1" w:themeTint="BF" w:sz="8" w:space="0"/>
            <w:left w:val="single" w:color="84B4DF" w:themeColor="accent1" w:themeTint="BF" w:sz="8" w:space="0"/>
            <w:bottom w:val="single" w:color="84B4DF" w:themeColor="accent1" w:themeTint="BF" w:sz="8" w:space="0"/>
            <w:right w:val="single" w:color="84B4DF" w:themeColor="accent1" w:themeTint="BF" w:sz="8" w:space="0"/>
            <w:insideH w:val="single" w:color="84B4DF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</w:trPr>
        <w:tc>
          <w:tcPr>
            <w:tcW w:w="894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第六讲：</w:t>
            </w:r>
          </w:p>
          <w:p>
            <w:pPr>
              <w:rPr>
                <w:rFonts w:ascii="宋体" w:hAnsi="宋体" w:cs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股票期权发展现状与实践案例</w:t>
            </w:r>
          </w:p>
        </w:tc>
        <w:tc>
          <w:tcPr>
            <w:tcW w:w="4106" w:type="pct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上交所期权市场发展情况介绍、介绍客户端使用方法和行情浏览，分享实践案例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>
      <w:pPr>
        <w:adjustRightInd w:val="0"/>
        <w:snapToGrid w:val="0"/>
        <w:ind w:firstLine="482" w:firstLineChars="200"/>
        <w:rPr>
          <w:rFonts w:ascii="Times New Roman" w:hAnsi="Times New Roman" w:eastAsia="仿宋_GB2312" w:cs="Times New Roman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ascii="楷体" w:hAnsi="楷体" w:eastAsia="楷体" w:cs="宋体"/>
          <w:sz w:val="24"/>
        </w:rPr>
      </w:pPr>
    </w:p>
    <w:p>
      <w:pPr>
        <w:adjustRightInd w:val="0"/>
        <w:snapToGrid w:val="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以培训时课程表为准。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61AF"/>
    <w:rsid w:val="0D3176C8"/>
    <w:rsid w:val="116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Shading 1 Accent 1"/>
    <w:basedOn w:val="2"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428</Characters>
  <Lines>0</Lines>
  <Paragraphs>0</Paragraphs>
  <TotalTime>0</TotalTime>
  <ScaleCrop>false</ScaleCrop>
  <LinksUpToDate>false</LinksUpToDate>
  <CharactersWithSpaces>429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2024-06-03T00:35:00Z</dcterms:created>
  <dc:creator>ytzhou</dc:creator>
  <cp:lastModifiedBy>新闻</cp:lastModifiedBy>
  <dcterms:modified xsi:type="dcterms:W3CDTF">2024-09-05T03:00:15Z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3BEF0E37BD524F90806E30584AE48392_13</vt:lpwstr>
  </property>
</Properties>
</file>