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F7" w:rsidRDefault="00E16BB1">
      <w:pPr>
        <w:widowControl/>
        <w:snapToGrid w:val="0"/>
        <w:spacing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3111F7" w:rsidRDefault="003111F7">
      <w:pPr>
        <w:widowControl/>
        <w:snapToGrid w:val="0"/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3111F7" w:rsidRDefault="00E16BB1">
      <w:pPr>
        <w:widowControl/>
        <w:snapToGrid w:val="0"/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上交所第</w:t>
      </w:r>
      <w:r w:rsidR="00D821CB">
        <w:rPr>
          <w:rFonts w:ascii="黑体" w:eastAsia="黑体" w:hAnsi="黑体" w:hint="eastAsia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期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期权交易员培训</w:t>
      </w:r>
    </w:p>
    <w:p w:rsidR="003111F7" w:rsidRDefault="00E16BB1">
      <w:pPr>
        <w:widowControl/>
        <w:snapToGrid w:val="0"/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课程安排</w:t>
      </w:r>
    </w:p>
    <w:p w:rsidR="003111F7" w:rsidRDefault="003111F7">
      <w:pPr>
        <w:adjustRightInd w:val="0"/>
        <w:snapToGrid w:val="0"/>
        <w:ind w:firstLineChars="200" w:firstLine="482"/>
        <w:rPr>
          <w:rFonts w:ascii="Times New Roman" w:eastAsia="仿宋_GB2312" w:hAnsi="Times New Roman" w:cs="Times New Roman"/>
          <w:b/>
          <w:color w:val="000000" w:themeColor="text1"/>
          <w:sz w:val="24"/>
          <w:szCs w:val="28"/>
        </w:rPr>
      </w:pPr>
    </w:p>
    <w:tbl>
      <w:tblPr>
        <w:tblStyle w:val="1-1"/>
        <w:tblW w:w="5935" w:type="pct"/>
        <w:jc w:val="center"/>
        <w:tblBorders>
          <w:insideV w:val="single" w:sz="8" w:space="0" w:color="7BA0CD" w:themeColor="accent1" w:themeTint="BF"/>
        </w:tblBorders>
        <w:tblLook w:val="04A0"/>
      </w:tblPr>
      <w:tblGrid>
        <w:gridCol w:w="1273"/>
        <w:gridCol w:w="1975"/>
        <w:gridCol w:w="1175"/>
        <w:gridCol w:w="5693"/>
      </w:tblGrid>
      <w:tr w:rsidR="003111F7" w:rsidTr="003111F7">
        <w:trPr>
          <w:cnfStyle w:val="100000000000"/>
          <w:trHeight w:hRule="exact" w:val="567"/>
          <w:jc w:val="center"/>
        </w:trPr>
        <w:tc>
          <w:tcPr>
            <w:cnfStyle w:val="001000000000"/>
            <w:tcW w:w="629" w:type="pct"/>
            <w:tcBorders>
              <w:tl2br w:val="nil"/>
              <w:tr2bl w:val="nil"/>
            </w:tcBorders>
          </w:tcPr>
          <w:p w:rsidR="003111F7" w:rsidRDefault="00E16BB1">
            <w:pPr>
              <w:adjustRightInd w:val="0"/>
              <w:snapToGrid w:val="0"/>
              <w:rPr>
                <w:rFonts w:cs="宋体"/>
                <w:b w:val="0"/>
                <w:bCs w:val="0"/>
                <w:color w:val="FFFFFF"/>
                <w:sz w:val="24"/>
              </w:rPr>
            </w:pPr>
            <w:r>
              <w:rPr>
                <w:rFonts w:cs="宋体" w:hint="eastAsia"/>
                <w:color w:val="FFFFFF"/>
                <w:sz w:val="24"/>
              </w:rPr>
              <w:t>日期</w:t>
            </w:r>
          </w:p>
        </w:tc>
        <w:tc>
          <w:tcPr>
            <w:tcW w:w="976" w:type="pct"/>
            <w:tcBorders>
              <w:tl2br w:val="nil"/>
              <w:tr2bl w:val="nil"/>
            </w:tcBorders>
          </w:tcPr>
          <w:p w:rsidR="003111F7" w:rsidRDefault="00E16BB1">
            <w:pPr>
              <w:adjustRightInd w:val="0"/>
              <w:snapToGrid w:val="0"/>
              <w:cnfStyle w:val="100000000000"/>
              <w:rPr>
                <w:rFonts w:cs="宋体"/>
                <w:b w:val="0"/>
                <w:bCs w:val="0"/>
                <w:color w:val="FFFFFF"/>
                <w:sz w:val="24"/>
              </w:rPr>
            </w:pPr>
            <w:r>
              <w:rPr>
                <w:rFonts w:cs="宋体" w:hint="eastAsia"/>
                <w:color w:val="FFFFFF"/>
                <w:sz w:val="24"/>
              </w:rPr>
              <w:t>时间</w:t>
            </w:r>
          </w:p>
        </w:tc>
        <w:tc>
          <w:tcPr>
            <w:tcW w:w="581" w:type="pct"/>
            <w:tcBorders>
              <w:tl2br w:val="nil"/>
              <w:tr2bl w:val="nil"/>
            </w:tcBorders>
            <w:vAlign w:val="center"/>
          </w:tcPr>
          <w:p w:rsidR="003111F7" w:rsidRDefault="003111F7">
            <w:pPr>
              <w:adjustRightInd w:val="0"/>
              <w:snapToGrid w:val="0"/>
              <w:cnfStyle w:val="100000000000"/>
              <w:rPr>
                <w:rFonts w:ascii="楷体" w:eastAsia="楷体" w:hAnsi="楷体" w:cs="宋体"/>
                <w:sz w:val="24"/>
              </w:rPr>
            </w:pPr>
          </w:p>
        </w:tc>
        <w:tc>
          <w:tcPr>
            <w:tcW w:w="2813" w:type="pct"/>
            <w:tcBorders>
              <w:tl2br w:val="nil"/>
              <w:tr2bl w:val="nil"/>
            </w:tcBorders>
            <w:vAlign w:val="center"/>
          </w:tcPr>
          <w:p w:rsidR="003111F7" w:rsidRDefault="00E16BB1">
            <w:pPr>
              <w:adjustRightInd w:val="0"/>
              <w:snapToGrid w:val="0"/>
              <w:cnfStyle w:val="100000000000"/>
              <w:rPr>
                <w:rFonts w:ascii="楷体" w:eastAsia="楷体" w:hAnsi="楷体" w:cs="宋体"/>
                <w:sz w:val="24"/>
              </w:rPr>
            </w:pPr>
            <w:r>
              <w:rPr>
                <w:rFonts w:cs="宋体" w:hint="eastAsia"/>
                <w:color w:val="FFFFFF"/>
                <w:sz w:val="24"/>
              </w:rPr>
              <w:t>课程名称</w:t>
            </w:r>
          </w:p>
        </w:tc>
      </w:tr>
      <w:tr w:rsidR="003111F7" w:rsidTr="003111F7">
        <w:trPr>
          <w:trHeight w:hRule="exact" w:val="567"/>
          <w:jc w:val="center"/>
        </w:trPr>
        <w:tc>
          <w:tcPr>
            <w:cnfStyle w:val="001000000000"/>
            <w:tcW w:w="629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E16BB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</w:rPr>
              <w:t>11月</w:t>
            </w:r>
            <w:r w:rsidR="00D821CB"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</w:rPr>
              <w:t>19</w:t>
            </w: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</w:rPr>
              <w:t>日</w:t>
            </w: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8:00-8:50</w:t>
            </w:r>
          </w:p>
        </w:tc>
        <w:tc>
          <w:tcPr>
            <w:tcW w:w="3394" w:type="pct"/>
            <w:gridSpan w:val="2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adjustRightInd w:val="0"/>
              <w:snapToGrid w:val="0"/>
              <w:ind w:firstLineChars="41" w:firstLine="86"/>
              <w:jc w:val="center"/>
              <w:cnfStyle w:val="000000000000"/>
              <w:rPr>
                <w:rFonts w:ascii="楷体" w:eastAsia="楷体" w:hAnsi="楷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签到</w:t>
            </w:r>
          </w:p>
        </w:tc>
      </w:tr>
      <w:tr w:rsidR="003111F7" w:rsidTr="003111F7">
        <w:trPr>
          <w:trHeight w:hRule="exact" w:val="1030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9:00-10:10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第一讲：</w:t>
            </w:r>
          </w:p>
        </w:tc>
        <w:tc>
          <w:tcPr>
            <w:tcW w:w="2813" w:type="pct"/>
            <w:tcBorders>
              <w:tl2br w:val="nil"/>
              <w:tr2bl w:val="nil"/>
            </w:tcBorders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期权市场与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ETF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期权业务设计</w:t>
            </w:r>
          </w:p>
        </w:tc>
      </w:tr>
      <w:tr w:rsidR="003111F7" w:rsidTr="003111F7">
        <w:trPr>
          <w:trHeight w:hRule="exact" w:val="567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cs="宋体"/>
                <w:color w:val="FFFFFF"/>
                <w:sz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B8CCE4" w:themeFill="accent1" w:themeFillTint="66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10:20-11:40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B8CCE4" w:themeFill="accent1" w:themeFillTint="66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第二讲：</w:t>
            </w:r>
          </w:p>
        </w:tc>
        <w:tc>
          <w:tcPr>
            <w:tcW w:w="2813" w:type="pct"/>
            <w:tcBorders>
              <w:tl2br w:val="nil"/>
              <w:tr2bl w:val="nil"/>
            </w:tcBorders>
            <w:shd w:val="clear" w:color="auto" w:fill="B8CCE4" w:themeFill="accent1" w:themeFillTint="66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期权交易策略与组合策略</w:t>
            </w:r>
          </w:p>
        </w:tc>
      </w:tr>
      <w:tr w:rsidR="003111F7" w:rsidTr="003111F7">
        <w:trPr>
          <w:trHeight w:hRule="exact" w:val="1137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11:40-13:30</w:t>
            </w:r>
          </w:p>
        </w:tc>
        <w:tc>
          <w:tcPr>
            <w:tcW w:w="3394" w:type="pct"/>
            <w:gridSpan w:val="2"/>
            <w:tcBorders>
              <w:tl2br w:val="nil"/>
              <w:tr2bl w:val="nil"/>
            </w:tcBorders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午餐</w:t>
            </w:r>
          </w:p>
        </w:tc>
      </w:tr>
      <w:tr w:rsidR="003111F7" w:rsidTr="003111F7">
        <w:trPr>
          <w:trHeight w:hRule="exact" w:val="567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13:30-16:40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第三讲：</w:t>
            </w:r>
          </w:p>
        </w:tc>
        <w:tc>
          <w:tcPr>
            <w:tcW w:w="2813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期权定价与数理方法</w:t>
            </w:r>
          </w:p>
        </w:tc>
      </w:tr>
      <w:tr w:rsidR="003111F7" w:rsidTr="003111F7">
        <w:trPr>
          <w:trHeight w:hRule="exact" w:val="567"/>
          <w:jc w:val="center"/>
        </w:trPr>
        <w:tc>
          <w:tcPr>
            <w:cnfStyle w:val="001000000000"/>
            <w:tcW w:w="629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E16B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</w:rPr>
              <w:t>11月</w:t>
            </w:r>
            <w:r w:rsidR="00D821CB"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</w:rPr>
              <w:t>日</w:t>
            </w: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9:00-11:30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第四讲：</w:t>
            </w:r>
          </w:p>
        </w:tc>
        <w:tc>
          <w:tcPr>
            <w:tcW w:w="28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希腊字母与交易风险</w:t>
            </w:r>
          </w:p>
        </w:tc>
      </w:tr>
      <w:tr w:rsidR="003111F7" w:rsidTr="003111F7">
        <w:trPr>
          <w:trHeight w:hRule="exact" w:val="985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C7D9F1" w:themeFill="text2" w:themeFillTint="32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11:30-13:30</w:t>
            </w:r>
          </w:p>
        </w:tc>
        <w:tc>
          <w:tcPr>
            <w:tcW w:w="3394" w:type="pct"/>
            <w:gridSpan w:val="2"/>
            <w:tcBorders>
              <w:tl2br w:val="nil"/>
              <w:tr2bl w:val="nil"/>
            </w:tcBorders>
            <w:shd w:val="clear" w:color="auto" w:fill="C7D9F1" w:themeFill="text2" w:themeFillTint="32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午餐</w:t>
            </w:r>
          </w:p>
        </w:tc>
      </w:tr>
      <w:tr w:rsidR="003111F7" w:rsidTr="003111F7">
        <w:trPr>
          <w:trHeight w:hRule="exact" w:val="716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13:30-16:40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第五讲：</w:t>
            </w:r>
          </w:p>
        </w:tc>
        <w:tc>
          <w:tcPr>
            <w:tcW w:w="28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Delta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动态对冲</w:t>
            </w:r>
          </w:p>
        </w:tc>
      </w:tr>
      <w:tr w:rsidR="003111F7" w:rsidTr="003111F7">
        <w:trPr>
          <w:trHeight w:hRule="exact" w:val="716"/>
          <w:jc w:val="center"/>
        </w:trPr>
        <w:tc>
          <w:tcPr>
            <w:cnfStyle w:val="001000000000"/>
            <w:tcW w:w="629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E16B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</w:rPr>
              <w:t>11月</w:t>
            </w:r>
            <w:r w:rsidR="00D821CB"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</w:rPr>
              <w:t>21</w:t>
            </w: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</w:rPr>
              <w:t>日</w:t>
            </w: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09:00-10:10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第六讲：</w:t>
            </w:r>
          </w:p>
        </w:tc>
        <w:tc>
          <w:tcPr>
            <w:tcW w:w="2813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波动</w:t>
            </w: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率交易</w:t>
            </w:r>
            <w:proofErr w:type="gramEnd"/>
          </w:p>
        </w:tc>
      </w:tr>
      <w:tr w:rsidR="003111F7" w:rsidTr="003111F7">
        <w:trPr>
          <w:trHeight w:hRule="exact" w:val="716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10:20-11:30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第七讲：</w:t>
            </w:r>
          </w:p>
        </w:tc>
        <w:tc>
          <w:tcPr>
            <w:tcW w:w="28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期权交易系统</w:t>
            </w:r>
          </w:p>
        </w:tc>
      </w:tr>
      <w:tr w:rsidR="003111F7" w:rsidTr="003111F7">
        <w:trPr>
          <w:trHeight w:hRule="exact" w:val="716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11:30-13:30</w:t>
            </w:r>
          </w:p>
        </w:tc>
        <w:tc>
          <w:tcPr>
            <w:tcW w:w="3394" w:type="pct"/>
            <w:gridSpan w:val="2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午餐</w:t>
            </w:r>
          </w:p>
        </w:tc>
      </w:tr>
      <w:tr w:rsidR="003111F7" w:rsidTr="003111F7">
        <w:trPr>
          <w:trHeight w:hRule="exact" w:val="716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13:30-15:00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第八讲：</w:t>
            </w:r>
          </w:p>
        </w:tc>
        <w:tc>
          <w:tcPr>
            <w:tcW w:w="28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期权做市商交易</w:t>
            </w:r>
          </w:p>
        </w:tc>
      </w:tr>
      <w:tr w:rsidR="003111F7" w:rsidTr="003111F7">
        <w:trPr>
          <w:trHeight w:hRule="exact" w:val="716"/>
          <w:jc w:val="center"/>
        </w:trPr>
        <w:tc>
          <w:tcPr>
            <w:cnfStyle w:val="001000000000"/>
            <w:tcW w:w="629" w:type="pct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111F7" w:rsidRDefault="003111F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15:10-16:40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E16BB1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第九讲：</w:t>
            </w:r>
          </w:p>
        </w:tc>
        <w:tc>
          <w:tcPr>
            <w:tcW w:w="2813" w:type="pct"/>
            <w:tcBorders>
              <w:tl2br w:val="nil"/>
              <w:tr2bl w:val="nil"/>
            </w:tcBorders>
            <w:shd w:val="clear" w:color="auto" w:fill="D3DFEE" w:themeFill="accent1" w:themeFillTint="3F"/>
            <w:vAlign w:val="center"/>
          </w:tcPr>
          <w:p w:rsidR="003111F7" w:rsidRDefault="00C46D85">
            <w:pPr>
              <w:spacing w:line="300" w:lineRule="auto"/>
              <w:cnfStyle w:val="000000000000"/>
              <w:rPr>
                <w:rFonts w:ascii="Times New Roman" w:hAnsi="Times New Roman" w:cs="宋体"/>
                <w:sz w:val="24"/>
                <w:szCs w:val="24"/>
              </w:rPr>
            </w:pPr>
            <w:r w:rsidRPr="00C46D85">
              <w:rPr>
                <w:rFonts w:ascii="Times New Roman" w:hAnsi="Times New Roman" w:cs="宋体" w:hint="eastAsia"/>
                <w:sz w:val="24"/>
                <w:szCs w:val="24"/>
              </w:rPr>
              <w:t>期权业务风控合规管理与案例分析</w:t>
            </w:r>
          </w:p>
        </w:tc>
      </w:tr>
    </w:tbl>
    <w:p w:rsidR="003111F7" w:rsidRDefault="003111F7">
      <w:pPr>
        <w:adjustRightInd w:val="0"/>
        <w:snapToGrid w:val="0"/>
        <w:rPr>
          <w:rFonts w:ascii="楷体" w:eastAsia="楷体" w:hAnsi="楷体" w:cs="宋体"/>
          <w:sz w:val="24"/>
        </w:rPr>
      </w:pPr>
    </w:p>
    <w:p w:rsidR="003111F7" w:rsidRDefault="00E16BB1">
      <w:pPr>
        <w:adjustRightInd w:val="0"/>
        <w:snapToGrid w:val="0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以培训时课程表为准。</w:t>
      </w:r>
    </w:p>
    <w:p w:rsidR="003111F7" w:rsidRDefault="003111F7">
      <w:pPr>
        <w:adjustRightInd w:val="0"/>
        <w:snapToGrid w:val="0"/>
        <w:rPr>
          <w:rFonts w:ascii="楷体" w:eastAsia="楷体" w:hAnsi="楷体" w:cs="宋体"/>
          <w:sz w:val="24"/>
        </w:rPr>
      </w:pPr>
    </w:p>
    <w:sectPr w:rsidR="003111F7" w:rsidSect="00311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471" w:rsidRDefault="00162471" w:rsidP="00D821CB">
      <w:r>
        <w:separator/>
      </w:r>
    </w:p>
  </w:endnote>
  <w:endnote w:type="continuationSeparator" w:id="0">
    <w:p w:rsidR="00162471" w:rsidRDefault="00162471" w:rsidP="00D8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471" w:rsidRDefault="00162471" w:rsidP="00D821CB">
      <w:r>
        <w:separator/>
      </w:r>
    </w:p>
  </w:footnote>
  <w:footnote w:type="continuationSeparator" w:id="0">
    <w:p w:rsidR="00162471" w:rsidRDefault="00162471" w:rsidP="00D82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CCC"/>
    <w:rsid w:val="00002840"/>
    <w:rsid w:val="0000515E"/>
    <w:rsid w:val="0002032C"/>
    <w:rsid w:val="00023B0E"/>
    <w:rsid w:val="00024464"/>
    <w:rsid w:val="00024FFF"/>
    <w:rsid w:val="00060961"/>
    <w:rsid w:val="0006785F"/>
    <w:rsid w:val="00097430"/>
    <w:rsid w:val="000A55BD"/>
    <w:rsid w:val="000D052E"/>
    <w:rsid w:val="000D133B"/>
    <w:rsid w:val="000D28CE"/>
    <w:rsid w:val="000D4D00"/>
    <w:rsid w:val="000E3890"/>
    <w:rsid w:val="000F062D"/>
    <w:rsid w:val="000F0D17"/>
    <w:rsid w:val="00127C62"/>
    <w:rsid w:val="00145EF0"/>
    <w:rsid w:val="00162471"/>
    <w:rsid w:val="001654C4"/>
    <w:rsid w:val="00186451"/>
    <w:rsid w:val="001867DE"/>
    <w:rsid w:val="001A194D"/>
    <w:rsid w:val="001C147B"/>
    <w:rsid w:val="001C2C87"/>
    <w:rsid w:val="001D03DD"/>
    <w:rsid w:val="001E2A1D"/>
    <w:rsid w:val="001F2849"/>
    <w:rsid w:val="00211877"/>
    <w:rsid w:val="00215B0E"/>
    <w:rsid w:val="0021781F"/>
    <w:rsid w:val="00234BF2"/>
    <w:rsid w:val="00241041"/>
    <w:rsid w:val="0026013F"/>
    <w:rsid w:val="002817F3"/>
    <w:rsid w:val="00294071"/>
    <w:rsid w:val="002C6D4A"/>
    <w:rsid w:val="002E7A77"/>
    <w:rsid w:val="002F6AF6"/>
    <w:rsid w:val="00301C53"/>
    <w:rsid w:val="00303916"/>
    <w:rsid w:val="003065AC"/>
    <w:rsid w:val="00306AB8"/>
    <w:rsid w:val="003111F7"/>
    <w:rsid w:val="0031607A"/>
    <w:rsid w:val="00321551"/>
    <w:rsid w:val="00324E98"/>
    <w:rsid w:val="00343D4A"/>
    <w:rsid w:val="0034415F"/>
    <w:rsid w:val="00364C74"/>
    <w:rsid w:val="0037387E"/>
    <w:rsid w:val="003878D1"/>
    <w:rsid w:val="00414631"/>
    <w:rsid w:val="004267BB"/>
    <w:rsid w:val="00442B72"/>
    <w:rsid w:val="00451CE2"/>
    <w:rsid w:val="00451D2E"/>
    <w:rsid w:val="00471BB7"/>
    <w:rsid w:val="004813A5"/>
    <w:rsid w:val="00482284"/>
    <w:rsid w:val="00482715"/>
    <w:rsid w:val="004A0D14"/>
    <w:rsid w:val="004B17C4"/>
    <w:rsid w:val="004B43D6"/>
    <w:rsid w:val="004C01C2"/>
    <w:rsid w:val="004C3A82"/>
    <w:rsid w:val="004D18D2"/>
    <w:rsid w:val="004D24E3"/>
    <w:rsid w:val="004D373A"/>
    <w:rsid w:val="004E278B"/>
    <w:rsid w:val="004F044F"/>
    <w:rsid w:val="004F2670"/>
    <w:rsid w:val="00515606"/>
    <w:rsid w:val="005215D3"/>
    <w:rsid w:val="00527FAB"/>
    <w:rsid w:val="0053045D"/>
    <w:rsid w:val="00531AA0"/>
    <w:rsid w:val="00531CC3"/>
    <w:rsid w:val="00534BEB"/>
    <w:rsid w:val="005713F4"/>
    <w:rsid w:val="00574FD0"/>
    <w:rsid w:val="005807CC"/>
    <w:rsid w:val="00585296"/>
    <w:rsid w:val="00591407"/>
    <w:rsid w:val="00593E73"/>
    <w:rsid w:val="005968F6"/>
    <w:rsid w:val="005B2373"/>
    <w:rsid w:val="005C07CA"/>
    <w:rsid w:val="005C2195"/>
    <w:rsid w:val="005C393C"/>
    <w:rsid w:val="005D1D4A"/>
    <w:rsid w:val="005D2934"/>
    <w:rsid w:val="005D3C54"/>
    <w:rsid w:val="005E33A7"/>
    <w:rsid w:val="005F4CA4"/>
    <w:rsid w:val="005F5030"/>
    <w:rsid w:val="005F5BAC"/>
    <w:rsid w:val="00601B7E"/>
    <w:rsid w:val="0062018C"/>
    <w:rsid w:val="0062262F"/>
    <w:rsid w:val="0062705A"/>
    <w:rsid w:val="00632AB5"/>
    <w:rsid w:val="006354D5"/>
    <w:rsid w:val="00641C02"/>
    <w:rsid w:val="006513FE"/>
    <w:rsid w:val="00677821"/>
    <w:rsid w:val="0068436D"/>
    <w:rsid w:val="006866B5"/>
    <w:rsid w:val="006965ED"/>
    <w:rsid w:val="006A473A"/>
    <w:rsid w:val="006A6812"/>
    <w:rsid w:val="006C0AF3"/>
    <w:rsid w:val="006D3735"/>
    <w:rsid w:val="006F07C2"/>
    <w:rsid w:val="006F1FB2"/>
    <w:rsid w:val="006F3DC2"/>
    <w:rsid w:val="00700CFC"/>
    <w:rsid w:val="00707031"/>
    <w:rsid w:val="00707161"/>
    <w:rsid w:val="00711446"/>
    <w:rsid w:val="007241A4"/>
    <w:rsid w:val="00725297"/>
    <w:rsid w:val="00735142"/>
    <w:rsid w:val="00737569"/>
    <w:rsid w:val="00746583"/>
    <w:rsid w:val="00771A42"/>
    <w:rsid w:val="00774C11"/>
    <w:rsid w:val="00775A93"/>
    <w:rsid w:val="00776EF6"/>
    <w:rsid w:val="00793739"/>
    <w:rsid w:val="00797A1B"/>
    <w:rsid w:val="007B198D"/>
    <w:rsid w:val="007B4CCC"/>
    <w:rsid w:val="007D4465"/>
    <w:rsid w:val="007E7923"/>
    <w:rsid w:val="00826E82"/>
    <w:rsid w:val="008353B9"/>
    <w:rsid w:val="008372C5"/>
    <w:rsid w:val="00841543"/>
    <w:rsid w:val="00843901"/>
    <w:rsid w:val="00845A7C"/>
    <w:rsid w:val="00847014"/>
    <w:rsid w:val="00854924"/>
    <w:rsid w:val="00855EF3"/>
    <w:rsid w:val="00877DBE"/>
    <w:rsid w:val="00892010"/>
    <w:rsid w:val="008B5940"/>
    <w:rsid w:val="008D0A4D"/>
    <w:rsid w:val="008D2BD7"/>
    <w:rsid w:val="008D5BC6"/>
    <w:rsid w:val="008E1C48"/>
    <w:rsid w:val="009143B9"/>
    <w:rsid w:val="0097217B"/>
    <w:rsid w:val="00975D85"/>
    <w:rsid w:val="009860EE"/>
    <w:rsid w:val="009B615B"/>
    <w:rsid w:val="009C7C78"/>
    <w:rsid w:val="009D0284"/>
    <w:rsid w:val="009D5530"/>
    <w:rsid w:val="009D67F4"/>
    <w:rsid w:val="009E03B3"/>
    <w:rsid w:val="009E1008"/>
    <w:rsid w:val="009E33DE"/>
    <w:rsid w:val="009E3401"/>
    <w:rsid w:val="009E6482"/>
    <w:rsid w:val="00A00888"/>
    <w:rsid w:val="00A070CA"/>
    <w:rsid w:val="00A11A9B"/>
    <w:rsid w:val="00A26E28"/>
    <w:rsid w:val="00A30A7F"/>
    <w:rsid w:val="00A33C1C"/>
    <w:rsid w:val="00A400BB"/>
    <w:rsid w:val="00A4260D"/>
    <w:rsid w:val="00A44046"/>
    <w:rsid w:val="00A55965"/>
    <w:rsid w:val="00A620CC"/>
    <w:rsid w:val="00A632EC"/>
    <w:rsid w:val="00A71CD8"/>
    <w:rsid w:val="00A71F96"/>
    <w:rsid w:val="00AA10D1"/>
    <w:rsid w:val="00AA38F5"/>
    <w:rsid w:val="00AC21FB"/>
    <w:rsid w:val="00AD623A"/>
    <w:rsid w:val="00AE25BB"/>
    <w:rsid w:val="00AE642D"/>
    <w:rsid w:val="00AF4CC8"/>
    <w:rsid w:val="00B26F9B"/>
    <w:rsid w:val="00B306D9"/>
    <w:rsid w:val="00B308C8"/>
    <w:rsid w:val="00B41EB6"/>
    <w:rsid w:val="00B502D0"/>
    <w:rsid w:val="00B51643"/>
    <w:rsid w:val="00B542BE"/>
    <w:rsid w:val="00B6249B"/>
    <w:rsid w:val="00B63467"/>
    <w:rsid w:val="00B7648A"/>
    <w:rsid w:val="00B811A8"/>
    <w:rsid w:val="00B82F27"/>
    <w:rsid w:val="00B84D55"/>
    <w:rsid w:val="00B8519D"/>
    <w:rsid w:val="00B90C04"/>
    <w:rsid w:val="00B91C69"/>
    <w:rsid w:val="00B9430E"/>
    <w:rsid w:val="00BA207E"/>
    <w:rsid w:val="00BA4121"/>
    <w:rsid w:val="00BA7D2F"/>
    <w:rsid w:val="00BC2C68"/>
    <w:rsid w:val="00BD2F41"/>
    <w:rsid w:val="00BE4953"/>
    <w:rsid w:val="00BE7D5B"/>
    <w:rsid w:val="00BF2523"/>
    <w:rsid w:val="00C26E16"/>
    <w:rsid w:val="00C46D85"/>
    <w:rsid w:val="00C6519A"/>
    <w:rsid w:val="00C70FC1"/>
    <w:rsid w:val="00C9384D"/>
    <w:rsid w:val="00CB038A"/>
    <w:rsid w:val="00CB2655"/>
    <w:rsid w:val="00CB3CDA"/>
    <w:rsid w:val="00CB57BD"/>
    <w:rsid w:val="00CC0C64"/>
    <w:rsid w:val="00CD6F25"/>
    <w:rsid w:val="00CE48E2"/>
    <w:rsid w:val="00CE5F5F"/>
    <w:rsid w:val="00D046A7"/>
    <w:rsid w:val="00D0532F"/>
    <w:rsid w:val="00D2038A"/>
    <w:rsid w:val="00D223B9"/>
    <w:rsid w:val="00D26EB8"/>
    <w:rsid w:val="00D30E1D"/>
    <w:rsid w:val="00D40B86"/>
    <w:rsid w:val="00D46C47"/>
    <w:rsid w:val="00D47574"/>
    <w:rsid w:val="00D53BC8"/>
    <w:rsid w:val="00D646BC"/>
    <w:rsid w:val="00D73973"/>
    <w:rsid w:val="00D76903"/>
    <w:rsid w:val="00D77525"/>
    <w:rsid w:val="00D821CB"/>
    <w:rsid w:val="00D84B58"/>
    <w:rsid w:val="00D865E0"/>
    <w:rsid w:val="00D8763C"/>
    <w:rsid w:val="00D96510"/>
    <w:rsid w:val="00DD5A8E"/>
    <w:rsid w:val="00DE0A3C"/>
    <w:rsid w:val="00DE2752"/>
    <w:rsid w:val="00DE46E6"/>
    <w:rsid w:val="00DE4DAF"/>
    <w:rsid w:val="00E01E0E"/>
    <w:rsid w:val="00E11292"/>
    <w:rsid w:val="00E1417F"/>
    <w:rsid w:val="00E16BB1"/>
    <w:rsid w:val="00E24DF3"/>
    <w:rsid w:val="00E26F4A"/>
    <w:rsid w:val="00E32A1F"/>
    <w:rsid w:val="00E344EC"/>
    <w:rsid w:val="00E56AC5"/>
    <w:rsid w:val="00E87D13"/>
    <w:rsid w:val="00E90931"/>
    <w:rsid w:val="00E97D0D"/>
    <w:rsid w:val="00EA30CA"/>
    <w:rsid w:val="00EC4FBF"/>
    <w:rsid w:val="00ED56DC"/>
    <w:rsid w:val="00EE41BC"/>
    <w:rsid w:val="00EE6CB5"/>
    <w:rsid w:val="00F236D8"/>
    <w:rsid w:val="00F34EC4"/>
    <w:rsid w:val="00F45E23"/>
    <w:rsid w:val="00F7557E"/>
    <w:rsid w:val="00F82273"/>
    <w:rsid w:val="00FA3AAD"/>
    <w:rsid w:val="00FA7C19"/>
    <w:rsid w:val="00FB3B04"/>
    <w:rsid w:val="00FB3CFE"/>
    <w:rsid w:val="00FB5D66"/>
    <w:rsid w:val="00FD6761"/>
    <w:rsid w:val="00FD7A8B"/>
    <w:rsid w:val="00FE5EBC"/>
    <w:rsid w:val="00FF0580"/>
    <w:rsid w:val="00FF37B4"/>
    <w:rsid w:val="00FF7FCE"/>
    <w:rsid w:val="05AB262D"/>
    <w:rsid w:val="14F74034"/>
    <w:rsid w:val="173736DF"/>
    <w:rsid w:val="26C1508E"/>
    <w:rsid w:val="27037B58"/>
    <w:rsid w:val="33011605"/>
    <w:rsid w:val="369D46A1"/>
    <w:rsid w:val="38061D32"/>
    <w:rsid w:val="3C3041E4"/>
    <w:rsid w:val="3E2452BD"/>
    <w:rsid w:val="401A2356"/>
    <w:rsid w:val="408C7260"/>
    <w:rsid w:val="4A3363EE"/>
    <w:rsid w:val="51CF0D8E"/>
    <w:rsid w:val="53FD448D"/>
    <w:rsid w:val="578279D8"/>
    <w:rsid w:val="5CB037F8"/>
    <w:rsid w:val="5D7B159D"/>
    <w:rsid w:val="6F7E3105"/>
    <w:rsid w:val="77B83E7A"/>
    <w:rsid w:val="7F386F42"/>
    <w:rsid w:val="7FC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111F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111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1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11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111F7"/>
    <w:rPr>
      <w:b/>
      <w:bCs/>
    </w:rPr>
  </w:style>
  <w:style w:type="table" w:styleId="a8">
    <w:name w:val="Table Grid"/>
    <w:basedOn w:val="a1"/>
    <w:uiPriority w:val="59"/>
    <w:qFormat/>
    <w:rsid w:val="00311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qFormat/>
    <w:rsid w:val="003111F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9">
    <w:name w:val="Strong"/>
    <w:basedOn w:val="a0"/>
    <w:uiPriority w:val="22"/>
    <w:qFormat/>
    <w:rsid w:val="003111F7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3111F7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3111F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3111F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111F7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111F7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11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5BBB1-AEBB-47B3-8A15-57D3C6BF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tek</cp:lastModifiedBy>
  <cp:revision>3</cp:revision>
  <cp:lastPrinted>2022-02-17T01:03:00Z</cp:lastPrinted>
  <dcterms:created xsi:type="dcterms:W3CDTF">2024-10-23T07:53:00Z</dcterms:created>
  <dcterms:modified xsi:type="dcterms:W3CDTF">2024-10-31T01:59:00Z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64D58799A93B44CAA914732CBE03E4FC</vt:lpwstr>
  </property>
</Properties>
</file>