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CC0E53">
      <w:pPr>
        <w:jc w:val="left"/>
        <w:outlineLvl w:val="0"/>
        <w:rPr>
          <w:rFonts w:hint="default" w:ascii="黑体" w:hAnsi="黑体" w:eastAsia="黑体" w:cs="黑体"/>
          <w:b/>
          <w:bCs/>
          <w:color w:val="000000"/>
          <w:sz w:val="30"/>
          <w:szCs w:val="30"/>
          <w:lang w:val="en-US" w:eastAsia="zh-CN"/>
        </w:rPr>
      </w:pPr>
      <w:r>
        <w:rPr>
          <w:rFonts w:hint="eastAsia" w:ascii="黑体" w:hAnsi="黑体" w:eastAsia="黑体" w:cs="黑体"/>
          <w:b w:val="0"/>
          <w:bCs w:val="0"/>
          <w:color w:val="000000"/>
          <w:sz w:val="30"/>
          <w:szCs w:val="30"/>
          <w:lang w:val="en-US" w:eastAsia="zh-CN"/>
        </w:rPr>
        <w:t>附件</w:t>
      </w:r>
      <w:bookmarkStart w:id="0" w:name="_GoBack"/>
      <w:bookmarkEnd w:id="0"/>
      <w:r>
        <w:rPr>
          <w:rFonts w:hint="eastAsia" w:ascii="黑体" w:hAnsi="黑体" w:eastAsia="黑体" w:cs="黑体"/>
          <w:b w:val="0"/>
          <w:bCs w:val="0"/>
          <w:color w:val="000000"/>
          <w:sz w:val="30"/>
          <w:szCs w:val="30"/>
          <w:lang w:val="en-US" w:eastAsia="zh-CN"/>
        </w:rPr>
        <w:t>：</w:t>
      </w:r>
    </w:p>
    <w:p w14:paraId="4D2DEFAC">
      <w:pPr>
        <w:ind w:firstLine="640" w:firstLineChars="200"/>
        <w:jc w:val="center"/>
        <w:outlineLvl w:val="0"/>
        <w:rPr>
          <w:rFonts w:hint="eastAsia" w:ascii="黑体" w:hAnsi="黑体" w:eastAsia="黑体" w:cs="黑体"/>
          <w:b w:val="0"/>
          <w:bCs w:val="0"/>
          <w:color w:val="000000"/>
          <w:sz w:val="32"/>
          <w:szCs w:val="32"/>
          <w:lang w:val="en-US" w:eastAsia="zh-CN"/>
        </w:rPr>
      </w:pPr>
      <w:r>
        <w:rPr>
          <w:rFonts w:hint="eastAsia" w:ascii="黑体" w:hAnsi="黑体" w:eastAsia="黑体" w:cs="黑体"/>
          <w:b w:val="0"/>
          <w:bCs w:val="0"/>
          <w:color w:val="000000"/>
          <w:sz w:val="32"/>
          <w:szCs w:val="32"/>
          <w:lang w:val="en-US" w:eastAsia="zh-CN"/>
        </w:rPr>
        <w:t>上海证券交易所市场参与者个人信息保护告知书</w:t>
      </w:r>
    </w:p>
    <w:p w14:paraId="0A2C70D2">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p>
    <w:p w14:paraId="1B383769">
      <w:pPr>
        <w:widowControl/>
        <w:shd w:val="clear" w:color="auto" w:fill="FFFFFF"/>
        <w:adjustRightInd w:val="0"/>
        <w:snapToGrid w:val="0"/>
        <w:ind w:firstLine="360" w:firstLineChars="20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为了保护您的个人信息，根据《中华人民共和国民法典》《中华人民共和国个人信息保护法》《中华人民共和国证券法》等法律、行政法规、部门规章和规范性文件（以下合称法律法规），上海证券交易所（以下简称本所）就履行自律管理职责、开展自律管理活动中涉及的个人信息保护事宜告知如下：</w:t>
      </w:r>
    </w:p>
    <w:p w14:paraId="3D76C7D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r>
        <w:rPr>
          <w:rFonts w:ascii="Segoe UI" w:hAnsi="Segoe UI" w:eastAsia="宋体" w:cs="Segoe UI"/>
          <w:b/>
          <w:bCs/>
          <w:color w:val="333333"/>
          <w:kern w:val="0"/>
          <w:sz w:val="18"/>
          <w:szCs w:val="18"/>
        </w:rPr>
        <w:t>一、我们为何收集和使用您的个人信息</w:t>
      </w:r>
    </w:p>
    <w:p w14:paraId="65B9D83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（一）本所处理个人信息的目的。本所依照法律法规和本所业务规则的规定，为履行以下自律管理职责、开展自律管理活动之需要，处理您的个人信息：</w:t>
      </w:r>
    </w:p>
    <w:p w14:paraId="1FC3793A">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1.提供证券集中交易的场所、设施和服务；</w:t>
      </w:r>
    </w:p>
    <w:p w14:paraId="32F300E1">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2.制定和修改本所的业务规则；</w:t>
      </w:r>
    </w:p>
    <w:p w14:paraId="1A4C776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3.按照国务院及中国证监会规定，审核证券公开发行上市申请；</w:t>
      </w:r>
    </w:p>
    <w:p w14:paraId="026DD441">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4.审核、安排证券上市交易，决定证券终止上市和重新上市等；</w:t>
      </w:r>
    </w:p>
    <w:p w14:paraId="16A19CAB">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5.提供非公开发行证券转让服务；</w:t>
      </w:r>
    </w:p>
    <w:p w14:paraId="119425D2">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6.组织和监督证券交易；</w:t>
      </w:r>
    </w:p>
    <w:p w14:paraId="2143540B">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7.组织实施交易品种和交易方式创新；</w:t>
      </w:r>
    </w:p>
    <w:p w14:paraId="2BED0DCD">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8.对会员进行监管；</w:t>
      </w:r>
    </w:p>
    <w:p w14:paraId="458853D8">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9.对证券上市交易公司及相关信息披露义务人进行监管，提供网站供信息披露义务人发布依法披露的信息；</w:t>
      </w:r>
    </w:p>
    <w:p w14:paraId="183D26A0">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10.对证券服务机构为证券发行上市、交易等提供服务的行为进行监管；</w:t>
      </w:r>
    </w:p>
    <w:p w14:paraId="2573F59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11.设立或者参与设立证券登记结算机构；</w:t>
      </w:r>
    </w:p>
    <w:p w14:paraId="7CB8F197">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12.管理和公布市场信息；</w:t>
      </w:r>
    </w:p>
    <w:p w14:paraId="3C198F55">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13.开展投资者教育和保护；</w:t>
      </w:r>
    </w:p>
    <w:p w14:paraId="252AE7B9">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14.法律、行政法规规定的以及中国证监会许可、授权或者委托的其他职能。</w:t>
      </w:r>
    </w:p>
    <w:p w14:paraId="43C5979A">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（二）本所处理个人信息原则。在遵循合法、正当、必要原则前提下，仅在以实现处理目的所必要的最小范围内对上述证券市场参与者个人信息进行收集和使用。</w:t>
      </w:r>
    </w:p>
    <w:p w14:paraId="285A748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三）本所处理的个人信息范围。本所根据自律管理活动的实际需要处理市场参与者个人信息，包括以下一项或者多项信息：姓名、身份证件信息、配偶及近亲属信息、职务信息、通讯信息、证券及衍生品账户开户信息、交易信息、持有股份和资金信息等。</w:t>
      </w:r>
    </w:p>
    <w:p w14:paraId="695500E8">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r>
        <w:rPr>
          <w:rFonts w:ascii="Segoe UI" w:hAnsi="Segoe UI" w:eastAsia="宋体" w:cs="Segoe UI"/>
          <w:b/>
          <w:bCs/>
          <w:color w:val="333333"/>
          <w:kern w:val="0"/>
          <w:sz w:val="18"/>
          <w:szCs w:val="18"/>
        </w:rPr>
        <w:t>二、我们如何收集您的个人信息</w:t>
      </w:r>
    </w:p>
    <w:p w14:paraId="7384AC2A">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本所主要从下列途径收集市场参与者个人信息：</w:t>
      </w:r>
    </w:p>
    <w:p w14:paraId="3213343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市场参与者向本所提供：例如市场参与主体在证券发行上市申请文件、信息披露文件中向本所提供涉及发行人的董事、监事、高级管理人员、核心技术人员、股东、实际控制人及其一致行动人等主体的个人信息。</w:t>
      </w:r>
    </w:p>
    <w:p w14:paraId="7F727FA7">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2.市场参与者通过中介机构提供：例如投资者在参与本所市场证券交易活动中，为订立证券交易、转让合同等，通过本所会员等中介机构向本所报送个人信息。</w:t>
      </w:r>
    </w:p>
    <w:p w14:paraId="5A3E6403">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3.市场参与者按照本所要求提供：例如在开展证券发行上市审核、监督证券交易、实施纪律处分和监管措施等履行自律管理职责过程中，本所按照规则规定要求自律监管对象向本所或者通过中介机构向本所提供个人信息。</w:t>
      </w:r>
    </w:p>
    <w:p w14:paraId="4087F385">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4.本所开展业务活动中收集：例如市场参与主体在使用本所网站、手机APP、投资者教育和培训等服务中产生的个人信息。</w:t>
      </w:r>
    </w:p>
    <w:p w14:paraId="7E7F517B">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5.从第三方机构获取：例如本所按照业务规则规定要求会员提供客户相关个人信息，或者通过有业务合作的第三方机构获取市场参与者个人信息。</w:t>
      </w:r>
    </w:p>
    <w:p w14:paraId="3E02DA7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r>
        <w:rPr>
          <w:rFonts w:ascii="Segoe UI" w:hAnsi="Segoe UI" w:eastAsia="宋体" w:cs="Segoe UI"/>
          <w:b/>
          <w:bCs/>
          <w:color w:val="333333"/>
          <w:kern w:val="0"/>
          <w:sz w:val="18"/>
          <w:szCs w:val="18"/>
        </w:rPr>
        <w:t>三、我们如何使用您的个人信息</w:t>
      </w:r>
    </w:p>
    <w:p w14:paraId="5BCC633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（一）本所收集的市场参与者个人信息，用于本告知书第一节列举的使用目的以及法律法规规定的其他用途。</w:t>
      </w:r>
    </w:p>
    <w:p w14:paraId="100FC7B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（二）按照法律法规和业务规则规定，本所通常需要在下列情形下向相关机构提供市场参与者个人信息：</w:t>
      </w:r>
    </w:p>
    <w:p w14:paraId="027CE606">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1.向证券监督管理机构、证券市场自律管理组织、投资者保护机构等主体提供；</w:t>
      </w:r>
    </w:p>
    <w:p w14:paraId="04241860">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2.向证券交易场所、证券登记结算机构、证券公司等证券业务开展主体提供（含互联互通业务中的境外证券业务开展主体）；</w:t>
      </w:r>
    </w:p>
    <w:p w14:paraId="330362C5">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3.向行政、司法、监察、审计等有权机关或其指定主体提供；</w:t>
      </w:r>
    </w:p>
    <w:p w14:paraId="7F41EC9D">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4.法律法规和业务规则规定的其他情形。</w:t>
      </w:r>
    </w:p>
    <w:p w14:paraId="7CF088D9">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（三）根据法律法规和业务规则的规定，本所在实施日常监管、纪律处分、监管措施等自律监管活动中，将依据业务规则规定公开被监管对象的特定信息。</w:t>
      </w:r>
    </w:p>
    <w:p w14:paraId="4B517693">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四）根据《证券法》的规定，本所依法为投资者的信息保密，不得非法对外买卖、提供或者公开投资者的信息。因此，除本条第二项所述依照法律法规和业务规则规定向有权机关和相关主体提供的情形外，本所不面向其他单位和个人提供投资者信息。</w:t>
      </w:r>
    </w:p>
    <w:p w14:paraId="2DA28077">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（五）根据法律法规和业务开展需要，本所将在合理的范围内处理个人自行公开或者其他已经合法公开的个人信息。</w:t>
      </w:r>
    </w:p>
    <w:p w14:paraId="55B630BB">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r>
        <w:rPr>
          <w:rFonts w:ascii="Segoe UI" w:hAnsi="Segoe UI" w:eastAsia="宋体" w:cs="Segoe UI"/>
          <w:b/>
          <w:bCs/>
          <w:color w:val="333333"/>
          <w:kern w:val="0"/>
          <w:sz w:val="18"/>
          <w:szCs w:val="18"/>
        </w:rPr>
        <w:t>四、我们如何保护您的个人信息</w:t>
      </w:r>
    </w:p>
    <w:p w14:paraId="3B59BCFE">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（一）本所建立专门管理制度以保障市场主体个人信息的安全。</w:t>
      </w:r>
    </w:p>
    <w:p w14:paraId="6553DFC2">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（二）本所按照法律法规要求，采取技术措施和其他必要措施，保障市场参与者个人信息安全。</w:t>
      </w:r>
    </w:p>
    <w:p w14:paraId="1CA9CBAE">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三）由于技术水平限制及可能存在的各种恶意手段，安全问题有可能因本所可控范围外的因素而出现。在发生个人信息安全事件后，本所将按照法律法规及业务规则的规定，通过发布公告、本所会员转告等适当方式进行告知。</w:t>
      </w:r>
    </w:p>
    <w:p w14:paraId="5799ED4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（四）本所收集的市场主体个人信息，除按照法律法规和业务规则需要出境情形外，将存储在中华人民共和国境内。</w:t>
      </w:r>
    </w:p>
    <w:p w14:paraId="359E55D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（五）保存期限。本所对市场参与者个人信息保存期限为二十年，法律法规另有规定的，从其规定。市场参与者信息保存到期后，经评估无需延期保存的，实施数据删除。</w:t>
      </w:r>
    </w:p>
    <w:p w14:paraId="52EE702C">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六）您有权按照个人信息收集和提供的途径，向证券发行人、证券公司、证券服务机构等主体查阅、复制由其向本所提供的您本人的个人信息。如果发现您的个人信息不准确或者不完整时，您有权请求更正、补充。</w:t>
      </w:r>
    </w:p>
    <w:p w14:paraId="64113B40">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w:t>
      </w:r>
      <w:r>
        <w:rPr>
          <w:rFonts w:ascii="Segoe UI" w:hAnsi="Segoe UI" w:eastAsia="宋体" w:cs="Segoe UI"/>
          <w:b/>
          <w:bCs/>
          <w:color w:val="333333"/>
          <w:kern w:val="0"/>
          <w:sz w:val="18"/>
          <w:szCs w:val="18"/>
        </w:rPr>
        <w:t>五、如何联系我们</w:t>
      </w:r>
    </w:p>
    <w:p w14:paraId="2A26B232">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联系地址：上海市浦东新区杨高南路388号</w:t>
      </w:r>
    </w:p>
    <w:p w14:paraId="5D1FA869">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电话总机：021-68808888</w:t>
      </w:r>
    </w:p>
    <w:p w14:paraId="33B5AF39">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邮政编码：200127</w:t>
      </w:r>
    </w:p>
    <w:p w14:paraId="058EFB74">
      <w:pPr>
        <w:widowControl/>
        <w:shd w:val="clear" w:color="auto" w:fill="FFFFFF"/>
        <w:adjustRightInd w:val="0"/>
        <w:snapToGrid w:val="0"/>
        <w:jc w:val="left"/>
        <w:rPr>
          <w:rFonts w:ascii="Segoe UI" w:hAnsi="Segoe UI" w:eastAsia="宋体" w:cs="Segoe UI"/>
          <w:color w:val="333333"/>
          <w:kern w:val="0"/>
          <w:sz w:val="18"/>
          <w:szCs w:val="18"/>
        </w:rPr>
      </w:pPr>
      <w:r>
        <w:rPr>
          <w:rFonts w:ascii="Segoe UI" w:hAnsi="Segoe UI" w:eastAsia="宋体" w:cs="Segoe UI"/>
          <w:color w:val="333333"/>
          <w:kern w:val="0"/>
          <w:sz w:val="18"/>
          <w:szCs w:val="18"/>
        </w:rPr>
        <w:t>　　网址：</w:t>
      </w:r>
      <w:r>
        <w:fldChar w:fldCharType="begin"/>
      </w:r>
      <w:r>
        <w:instrText xml:space="preserve"> HYPERLINK "http://www.sse.com.cn/" \o "www.sse.com.cn" </w:instrText>
      </w:r>
      <w:r>
        <w:fldChar w:fldCharType="separate"/>
      </w:r>
      <w:r>
        <w:rPr>
          <w:rFonts w:ascii="Segoe UI" w:hAnsi="Segoe UI" w:eastAsia="宋体" w:cs="Segoe UI"/>
          <w:color w:val="005FC9"/>
          <w:kern w:val="0"/>
          <w:sz w:val="18"/>
          <w:szCs w:val="18"/>
        </w:rPr>
        <w:t>www.sse.com.cn</w:t>
      </w:r>
      <w:r>
        <w:rPr>
          <w:rFonts w:ascii="Segoe UI" w:hAnsi="Segoe UI" w:eastAsia="宋体" w:cs="Segoe UI"/>
          <w:color w:val="005FC9"/>
          <w:kern w:val="0"/>
          <w:sz w:val="18"/>
          <w:szCs w:val="18"/>
        </w:rPr>
        <w:fldChar w:fldCharType="end"/>
      </w:r>
    </w:p>
    <w:p w14:paraId="54110091"/>
    <w:p w14:paraId="5CAF647E">
      <w:pPr>
        <w:widowControl/>
        <w:snapToGrid w:val="0"/>
        <w:spacing w:line="440" w:lineRule="exact"/>
        <w:rPr>
          <w:rFonts w:ascii="仿宋" w:hAnsi="仿宋" w:eastAsia="仿宋" w:cstheme="minorEastAsia"/>
          <w:kern w:val="0"/>
          <w:sz w:val="24"/>
          <w:szCs w:val="24"/>
        </w:rPr>
      </w:pPr>
    </w:p>
    <w:p w14:paraId="531CED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Segoe UI">
    <w:altName w:val="Noto Naskh Arabic"/>
    <w:panose1 w:val="020B0502040204020203"/>
    <w:charset w:val="00"/>
    <w:family w:val="swiss"/>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仿宋">
    <w:altName w:val="宋体"/>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611683"/>
    <w:rsid w:val="43845F42"/>
    <w:rsid w:val="6B611683"/>
    <w:rsid w:val="FFFF6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2052</Words>
  <Characters>2113</Characters>
  <Lines>0</Lines>
  <Paragraphs>0</Paragraphs>
  <TotalTime>0</TotalTime>
  <ScaleCrop>false</ScaleCrop>
  <LinksUpToDate>false</LinksUpToDate>
  <CharactersWithSpaces>2209</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2024-11-20T15:16:00Z</dcterms:created>
  <dc:creator>Administrator</dc:creator>
  <cp:lastModifiedBy>taozhao</cp:lastModifiedBy>
  <dcterms:modified xsi:type="dcterms:W3CDTF">2026-10-14T10:25:20Z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F268465D628E475F942FAACCDF810BC0</vt:lpwstr>
  </property>
  <property fmtid="{D5CDD505-2E9C-101B-9397-08002B2CF9AE}" pid="4" name="KSOTemplateDocerSaveRecord">
    <vt:lpwstr>eyJoZGlkIjoiYWZkODgyMjgxMzlkZjVhYmVhZmY5YjQ1OGQ4Y2ZhMDIiLCJ1c2VySWQiOiI0MzE1NzI1NjIifQ==</vt:lpwstr>
  </property>
</Properties>
</file>