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1CEB"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670D049"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 w14:paraId="037D4578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</w:t>
      </w:r>
      <w:r>
        <w:rPr>
          <w:rFonts w:hint="eastAsia" w:ascii="黑体" w:hAnsi="黑体" w:eastAsia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73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期</w:t>
      </w:r>
      <w:r>
        <w:rPr>
          <w:rFonts w:hint="eastAsia" w:ascii="黑体" w:hAnsi="黑体" w:eastAsia="黑体"/>
          <w:sz w:val="36"/>
          <w:szCs w:val="36"/>
        </w:rPr>
        <w:t>期权策略顾问（初级班）培训</w:t>
      </w:r>
    </w:p>
    <w:p w14:paraId="12749A5D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 w14:paraId="7C600628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0CA4BD86"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 w14:paraId="346DDA76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 w14:paraId="6634F2B6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497C2E4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 w14:paraId="7E116E5D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 w14:paraId="2897D4D7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B8C69C6"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 w14:paraId="50461E48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F1BD69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 w14:paraId="1F374B12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10E9B1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 w14:paraId="42D68554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733CE86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 w14:paraId="5658FACA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AB558AB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；备兑开仓策略的使用场景、盈亏分析、风险特征和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 w14:paraId="30A5F46C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940F9F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 w14:paraId="5E0CF1BD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组合策略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入门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0CC2A5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、组合策略保证金及其应用。</w:t>
            </w:r>
          </w:p>
        </w:tc>
      </w:tr>
      <w:tr w14:paraId="48CDF86F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FD8A536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 w14:paraId="1730C59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限仓限购制度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，以及股票期权发展现状和实例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6EC58DB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 w14:paraId="593D0FF9">
      <w:pPr>
        <w:adjustRightInd w:val="0"/>
        <w:snapToGrid w:val="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47B69BD1"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 w14:paraId="60000751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07412A7"/>
    <w:rsid w:val="033336D0"/>
    <w:rsid w:val="067F377B"/>
    <w:rsid w:val="0D3176C8"/>
    <w:rsid w:val="116D61AF"/>
    <w:rsid w:val="35012C8A"/>
    <w:rsid w:val="542E5E8B"/>
    <w:rsid w:val="6BD7000A"/>
    <w:rsid w:val="712F7431"/>
    <w:rsid w:val="7B1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10</TotalTime>
  <ScaleCrop>false</ScaleCrop>
  <LinksUpToDate>false</LinksUpToDate>
  <CharactersWithSpaces>429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新闻</cp:lastModifiedBy>
  <dcterms:modified xsi:type="dcterms:W3CDTF">2025-08-06T02:02:13Z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1F60DA553DF348F69DCFC6A3E9402BD1_13</vt:lpwstr>
  </property>
</Properties>
</file>