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CD255">
      <w:pPr>
        <w:jc w:val="center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上市公司市值管理专题培训</w:t>
      </w:r>
    </w:p>
    <w:p w14:paraId="36038F19">
      <w:pPr>
        <w:jc w:val="center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bCs/>
          <w:kern w:val="0"/>
          <w:sz w:val="32"/>
          <w:szCs w:val="32"/>
        </w:rPr>
        <w:t>第</w:t>
      </w:r>
      <w:r>
        <w:rPr>
          <w:rFonts w:hint="eastAsia" w:ascii="黑体" w:hAnsi="黑体" w:eastAsia="黑体"/>
          <w:bCs/>
          <w:kern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bCs/>
          <w:kern w:val="0"/>
          <w:sz w:val="32"/>
          <w:szCs w:val="32"/>
        </w:rPr>
        <w:t>期</w:t>
      </w:r>
      <w:r>
        <w:rPr>
          <w:rFonts w:hint="eastAsia" w:ascii="黑体" w:hAnsi="黑体" w:eastAsia="黑体"/>
          <w:bCs/>
          <w:kern w:val="0"/>
          <w:sz w:val="32"/>
          <w:szCs w:val="32"/>
          <w:lang w:eastAsia="zh-CN"/>
        </w:rPr>
        <w:t>）</w:t>
      </w:r>
      <w:r>
        <w:rPr>
          <w:rFonts w:hint="eastAsia" w:ascii="黑体" w:hAnsi="黑体" w:eastAsia="黑体"/>
          <w:bCs/>
          <w:kern w:val="0"/>
          <w:sz w:val="32"/>
          <w:szCs w:val="32"/>
        </w:rPr>
        <w:t>课程表</w:t>
      </w:r>
    </w:p>
    <w:p w14:paraId="4B449A97">
      <w:pPr>
        <w:jc w:val="center"/>
        <w:rPr>
          <w:rFonts w:ascii="黑体" w:hAnsi="黑体" w:eastAsia="黑体"/>
          <w:bCs/>
          <w:kern w:val="0"/>
          <w:sz w:val="32"/>
          <w:szCs w:val="32"/>
        </w:rPr>
      </w:pPr>
    </w:p>
    <w:tbl>
      <w:tblPr>
        <w:tblStyle w:val="4"/>
        <w:tblW w:w="5549" w:type="pct"/>
        <w:tblInd w:w="-4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2294"/>
        <w:gridCol w:w="5776"/>
      </w:tblGrid>
      <w:tr w14:paraId="7104B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46" w:type="pct"/>
            <w:gridSpan w:val="2"/>
            <w:tcBorders>
              <w:tl2br w:val="nil"/>
            </w:tcBorders>
            <w:shd w:val="clear" w:color="auto" w:fill="91ACE0"/>
          </w:tcPr>
          <w:p w14:paraId="2292816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8"/>
                <w:szCs w:val="28"/>
              </w:rPr>
              <w:t>培训日程</w:t>
            </w:r>
          </w:p>
        </w:tc>
        <w:tc>
          <w:tcPr>
            <w:tcW w:w="3053" w:type="pct"/>
            <w:shd w:val="clear" w:color="auto" w:fill="91ACE0"/>
          </w:tcPr>
          <w:p w14:paraId="504A1B23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8"/>
                <w:szCs w:val="28"/>
              </w:rPr>
              <w:t>课程安排</w:t>
            </w:r>
          </w:p>
        </w:tc>
      </w:tr>
      <w:tr w14:paraId="1F09D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33" w:type="pct"/>
            <w:vMerge w:val="restart"/>
            <w:shd w:val="clear" w:color="auto" w:fill="EDF1FA"/>
            <w:vAlign w:val="center"/>
          </w:tcPr>
          <w:p w14:paraId="20311AAF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微软雅黑" w:eastAsia="仿宋_GB2312"/>
                <w:bCs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hint="eastAsia" w:ascii="仿宋_GB2312" w:hAnsi="微软雅黑" w:eastAsia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31</w:t>
            </w:r>
            <w:r>
              <w:rPr>
                <w:rFonts w:hint="eastAsia" w:ascii="仿宋_GB2312" w:hAnsi="微软雅黑" w:eastAsia="仿宋_GB2312"/>
                <w:bCs/>
                <w:color w:val="000000"/>
                <w:kern w:val="0"/>
                <w:sz w:val="30"/>
                <w:szCs w:val="30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  <w:t>（周四）</w:t>
            </w:r>
          </w:p>
        </w:tc>
        <w:tc>
          <w:tcPr>
            <w:tcW w:w="1212" w:type="pct"/>
            <w:shd w:val="clear" w:color="auto" w:fill="EDF1FA"/>
            <w:vAlign w:val="center"/>
          </w:tcPr>
          <w:p w14:paraId="6D93A6C9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  <w:t>-9: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00</w:t>
            </w:r>
          </w:p>
        </w:tc>
        <w:tc>
          <w:tcPr>
            <w:tcW w:w="3053" w:type="pct"/>
            <w:shd w:val="clear" w:color="auto" w:fill="EDF1FA"/>
            <w:vAlign w:val="center"/>
          </w:tcPr>
          <w:p w14:paraId="61EFB279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  <w:t>开班</w:t>
            </w:r>
          </w:p>
        </w:tc>
      </w:tr>
      <w:tr w14:paraId="6B396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33" w:type="pct"/>
            <w:vMerge w:val="continue"/>
            <w:shd w:val="clear" w:color="auto" w:fill="FFFFFF"/>
          </w:tcPr>
          <w:p w14:paraId="2ACD752B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12" w:type="pct"/>
            <w:shd w:val="clear" w:color="auto" w:fill="FFFFFF"/>
            <w:vAlign w:val="center"/>
          </w:tcPr>
          <w:p w14:paraId="6A9169B1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  <w:t>9: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  <w:t>-10:15</w:t>
            </w:r>
          </w:p>
        </w:tc>
        <w:tc>
          <w:tcPr>
            <w:tcW w:w="3053" w:type="pct"/>
            <w:shd w:val="clear" w:color="auto" w:fill="FFFFFF"/>
            <w:vAlign w:val="center"/>
          </w:tcPr>
          <w:p w14:paraId="30D12E22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  <w:t>课程1：最新市值管理政策解读</w:t>
            </w:r>
          </w:p>
        </w:tc>
      </w:tr>
      <w:tr w14:paraId="6F147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33" w:type="pct"/>
            <w:vMerge w:val="continue"/>
            <w:shd w:val="clear" w:color="auto" w:fill="FFFFFF"/>
          </w:tcPr>
          <w:p w14:paraId="40F38051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12" w:type="pct"/>
            <w:shd w:val="clear" w:color="auto" w:fill="FFFFFF"/>
            <w:vAlign w:val="center"/>
          </w:tcPr>
          <w:p w14:paraId="4A12D384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  <w:t>10: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  <w:t>-1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  <w:t>1:40</w:t>
            </w:r>
          </w:p>
        </w:tc>
        <w:tc>
          <w:tcPr>
            <w:tcW w:w="3053" w:type="pct"/>
            <w:shd w:val="clear" w:color="auto" w:fill="FFFFFF"/>
            <w:vAlign w:val="center"/>
          </w:tcPr>
          <w:p w14:paraId="4546DB36"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  <w:t>课程2：股权激励与投资者关系管理</w:t>
            </w:r>
          </w:p>
        </w:tc>
      </w:tr>
      <w:tr w14:paraId="55366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33" w:type="pct"/>
            <w:vMerge w:val="continue"/>
            <w:shd w:val="clear" w:color="auto" w:fill="EDF1FA"/>
          </w:tcPr>
          <w:p w14:paraId="74B73BE6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2" w:type="pct"/>
            <w:shd w:val="clear" w:color="auto" w:fill="EDF1FA"/>
            <w:vAlign w:val="center"/>
          </w:tcPr>
          <w:p w14:paraId="10E0C7E7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12:00-13:30</w:t>
            </w:r>
          </w:p>
        </w:tc>
        <w:tc>
          <w:tcPr>
            <w:tcW w:w="3053" w:type="pct"/>
            <w:shd w:val="clear" w:color="auto" w:fill="EDF1FA"/>
            <w:vAlign w:val="center"/>
          </w:tcPr>
          <w:p w14:paraId="7BCAD3F5"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  <w:t>午餐</w:t>
            </w:r>
          </w:p>
        </w:tc>
      </w:tr>
      <w:tr w14:paraId="75B6B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33" w:type="pct"/>
            <w:vMerge w:val="continue"/>
            <w:shd w:val="clear" w:color="auto" w:fill="FFFFFF"/>
          </w:tcPr>
          <w:p w14:paraId="4AD3490F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12" w:type="pct"/>
            <w:shd w:val="clear" w:color="auto" w:fill="FFFFFF"/>
            <w:vAlign w:val="center"/>
          </w:tcPr>
          <w:p w14:paraId="516074E5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  <w:t>: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  <w:t>-1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40</w:t>
            </w:r>
          </w:p>
        </w:tc>
        <w:tc>
          <w:tcPr>
            <w:tcW w:w="3053" w:type="pct"/>
            <w:shd w:val="clear" w:color="auto" w:fill="FFFFFF"/>
            <w:vAlign w:val="center"/>
          </w:tcPr>
          <w:p w14:paraId="51ACE92B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  <w:t>课程3：市值管理：企业价值提升系统工程</w:t>
            </w:r>
          </w:p>
        </w:tc>
      </w:tr>
      <w:tr w14:paraId="42E38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33" w:type="pct"/>
            <w:vMerge w:val="continue"/>
            <w:shd w:val="clear" w:color="auto" w:fill="EDF1FA"/>
          </w:tcPr>
          <w:p w14:paraId="7F92AC6B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12" w:type="pct"/>
            <w:shd w:val="clear" w:color="auto" w:fill="EDF1FA"/>
            <w:vAlign w:val="center"/>
          </w:tcPr>
          <w:p w14:paraId="421303C7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  <w:t>: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  <w:t>-1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  <w:t>0</w:t>
            </w:r>
          </w:p>
        </w:tc>
        <w:tc>
          <w:tcPr>
            <w:tcW w:w="3053" w:type="pct"/>
            <w:shd w:val="clear" w:color="auto" w:fill="EDF1FA"/>
            <w:vAlign w:val="center"/>
          </w:tcPr>
          <w:p w14:paraId="1B397392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  <w:t>课程4：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eastAsia="zh-CN"/>
              </w:rPr>
              <w:t>指数编制的逻辑与规则</w:t>
            </w:r>
          </w:p>
        </w:tc>
      </w:tr>
      <w:tr w14:paraId="515D2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33" w:type="pct"/>
            <w:vMerge w:val="continue"/>
            <w:shd w:val="clear" w:color="auto" w:fill="EDF1FA"/>
          </w:tcPr>
          <w:p w14:paraId="4841D83F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12" w:type="pct"/>
            <w:shd w:val="clear" w:color="auto" w:fill="EDF1FA"/>
            <w:vAlign w:val="center"/>
          </w:tcPr>
          <w:p w14:paraId="0FCA4801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16:00-17:00</w:t>
            </w:r>
          </w:p>
        </w:tc>
        <w:tc>
          <w:tcPr>
            <w:tcW w:w="3053" w:type="pct"/>
            <w:shd w:val="clear" w:color="auto" w:fill="EDF1FA"/>
            <w:vAlign w:val="center"/>
          </w:tcPr>
          <w:p w14:paraId="76C19E3D"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eastAsia="zh-CN"/>
              </w:rPr>
              <w:t>课程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5：上市公司市值管理工作经验分享</w:t>
            </w:r>
          </w:p>
        </w:tc>
      </w:tr>
    </w:tbl>
    <w:p w14:paraId="0C4EE0A1">
      <w:pPr>
        <w:rPr>
          <w:rFonts w:ascii="楷体" w:hAnsi="楷体" w:eastAsia="楷体" w:cs="宋体"/>
          <w:b/>
          <w:bCs/>
          <w:sz w:val="24"/>
          <w:highlight w:val="yellow"/>
        </w:rPr>
      </w:pPr>
      <w:r>
        <w:rPr>
          <w:rFonts w:hint="eastAsia" w:ascii="楷体" w:hAnsi="楷体" w:eastAsia="楷体" w:cs="宋体"/>
          <w:sz w:val="24"/>
        </w:rPr>
        <w:t>课程安排以培训实际安排为准。</w:t>
      </w:r>
    </w:p>
    <w:p w14:paraId="63A79BD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32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表 4 - 着色 11"/>
    <w:basedOn w:val="2"/>
    <w:qFormat/>
    <w:uiPriority w:val="49"/>
    <w:tblPr>
      <w:tblBorders>
        <w:top w:val="single" w:color="91ABDF" w:themeColor="accent1" w:themeTint="99" w:sz="4" w:space="0"/>
        <w:left w:val="single" w:color="91ABDF" w:themeColor="accent1" w:themeTint="99" w:sz="4" w:space="0"/>
        <w:bottom w:val="single" w:color="91ABDF" w:themeColor="accent1" w:themeTint="99" w:sz="4" w:space="0"/>
        <w:right w:val="single" w:color="91ABDF" w:themeColor="accent1" w:themeTint="99" w:sz="4" w:space="0"/>
        <w:insideH w:val="single" w:color="91ABDF" w:themeColor="accent1" w:themeTint="99" w:sz="4" w:space="0"/>
        <w:insideV w:val="single" w:color="91ABDF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874CB" w:themeColor="accent1" w:sz="4" w:space="0"/>
          <w:left w:val="single" w:color="4874CB" w:themeColor="accent1" w:sz="4" w:space="0"/>
          <w:bottom w:val="single" w:color="4874CB" w:themeColor="accent1" w:sz="4" w:space="0"/>
          <w:right w:val="single" w:color="4874CB" w:themeColor="accent1" w:sz="4" w:space="0"/>
          <w:insideH w:val="nil"/>
          <w:insideV w:val="nil"/>
        </w:tcBorders>
        <w:shd w:val="clear" w:color="auto" w:fill="4874CB" w:themeFill="accent1"/>
      </w:tcPr>
    </w:tblStylePr>
    <w:tblStylePr w:type="lastRow">
      <w:rPr>
        <w:b/>
        <w:bCs/>
      </w:rPr>
      <w:tcPr>
        <w:tcBorders>
          <w:top w:val="double" w:color="4874CB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3F4" w:themeFill="accent1" w:themeFillTint="33"/>
      </w:tcPr>
    </w:tblStylePr>
    <w:tblStylePr w:type="band1Horz">
      <w:tcPr>
        <w:shd w:val="clear" w:color="auto" w:fill="DAE3F4" w:themeFill="accent1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Office_12.8.2.19309_F1E327BC-269C-435d-A152-05C5408002CA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ypyang</dc:creator>
  <cp:lastModifiedBy>ypyang</cp:lastModifiedBy>
  <dcterms:modified xsi:type="dcterms:W3CDTF">2025-07-11T03:41:25Z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2052-12.8.2.19309</vt:lpwstr>
  </property>
  <property fmtid="{D5CDD505-2E9C-101B-9397-08002B2CF9AE}" pid="3" name="ICV">
    <vt:lpwstr>2D1EA2B93FC04B68B794C832223108E6_12</vt:lpwstr>
  </property>
</Properties>
</file>