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EE4F0BF">
      <w:pPr>
        <w:widowControl/>
        <w:snapToGrid w:val="0"/>
        <w:spacing w:line="500" w:lineRule="exact"/>
        <w:jc w:val="left"/>
        <w:rPr>
          <w:rFonts w:hint="eastAsia" w:ascii="黑体" w:hAnsi="黑体" w:eastAsia="黑体" w:cs="黑体"/>
          <w:sz w:val="30"/>
          <w:szCs w:val="30"/>
          <w:lang w:val="en-US" w:eastAsia="zh-CN"/>
        </w:rPr>
      </w:pPr>
      <w:r>
        <w:rPr>
          <w:rFonts w:hint="eastAsia" w:ascii="Times New Roman" w:hAnsi="Times New Roman" w:eastAsia="黑体"/>
          <w:bCs/>
          <w:kern w:val="44"/>
          <w:sz w:val="30"/>
          <w:szCs w:val="30"/>
        </w:rPr>
        <w:t>附件1：</w:t>
      </w:r>
    </w:p>
    <w:p w14:paraId="51B52E03">
      <w:pPr>
        <w:jc w:val="center"/>
        <w:rPr>
          <w:rFonts w:hint="eastAsia" w:ascii="Times New Roman" w:hAnsi="Times New Roman" w:eastAsia="黑体"/>
          <w:bCs/>
          <w:kern w:val="0"/>
          <w:sz w:val="30"/>
          <w:szCs w:val="30"/>
          <w:lang w:val="en-US" w:eastAsia="zh-CN"/>
        </w:rPr>
      </w:pPr>
      <w:r>
        <w:rPr>
          <w:rFonts w:hint="eastAsia" w:ascii="Times New Roman" w:hAnsi="Times New Roman" w:eastAsia="黑体"/>
          <w:bCs/>
          <w:kern w:val="0"/>
          <w:sz w:val="30"/>
          <w:szCs w:val="30"/>
          <w:lang w:val="en-US" w:eastAsia="zh-CN"/>
        </w:rPr>
        <w:t>践行三投资理念，促进高质量发展</w:t>
      </w:r>
    </w:p>
    <w:p w14:paraId="0D40806F">
      <w:pPr>
        <w:jc w:val="center"/>
        <w:rPr>
          <w:rFonts w:hint="eastAsia" w:ascii="Times New Roman" w:hAnsi="Times New Roman" w:eastAsia="黑体"/>
          <w:bCs/>
          <w:kern w:val="0"/>
          <w:sz w:val="30"/>
          <w:szCs w:val="30"/>
          <w:lang w:val="en-US" w:eastAsia="zh-CN"/>
        </w:rPr>
      </w:pPr>
      <w:r>
        <w:rPr>
          <w:rFonts w:hint="eastAsia" w:ascii="Times New Roman" w:hAnsi="Times New Roman" w:eastAsia="黑体"/>
          <w:bCs/>
          <w:kern w:val="0"/>
          <w:sz w:val="30"/>
          <w:szCs w:val="30"/>
          <w:lang w:val="en-US" w:eastAsia="zh-CN"/>
        </w:rPr>
        <w:t>上海</w:t>
      </w:r>
      <w:bookmarkStart w:id="0" w:name="_GoBack"/>
      <w:bookmarkEnd w:id="0"/>
      <w:r>
        <w:rPr>
          <w:rFonts w:hint="eastAsia" w:ascii="Times New Roman" w:hAnsi="Times New Roman" w:eastAsia="黑体"/>
          <w:bCs/>
          <w:kern w:val="0"/>
          <w:sz w:val="30"/>
          <w:szCs w:val="30"/>
          <w:lang w:val="en-US" w:eastAsia="zh-CN"/>
        </w:rPr>
        <w:t>证券交易所机构投资者服务成渝双城经济圈行</w:t>
      </w:r>
    </w:p>
    <w:p w14:paraId="498F2AA4">
      <w:pPr>
        <w:jc w:val="center"/>
        <w:rPr>
          <w:rFonts w:hint="eastAsia" w:ascii="方正黑体简体" w:hAnsi="方正黑体简体" w:eastAsia="方正黑体简体" w:cs="方正黑体简体"/>
          <w:bCs/>
          <w:kern w:val="0"/>
          <w:sz w:val="30"/>
          <w:szCs w:val="30"/>
          <w:lang w:val="en-US" w:eastAsia="zh-CN"/>
        </w:rPr>
      </w:pPr>
      <w:r>
        <w:rPr>
          <w:rFonts w:hint="eastAsia" w:ascii="Times New Roman" w:hAnsi="Times New Roman" w:eastAsia="黑体"/>
          <w:bCs/>
          <w:kern w:val="0"/>
          <w:sz w:val="30"/>
          <w:szCs w:val="30"/>
          <w:lang w:val="en-US" w:eastAsia="zh-CN"/>
        </w:rPr>
        <w:t>（重庆站）培训</w:t>
      </w:r>
      <w:r>
        <w:rPr>
          <w:rFonts w:hint="eastAsia" w:ascii="方正黑体简体" w:hAnsi="方正黑体简体" w:eastAsia="方正黑体简体" w:cs="方正黑体简体"/>
          <w:bCs/>
          <w:kern w:val="0"/>
          <w:sz w:val="30"/>
          <w:szCs w:val="30"/>
          <w:lang w:val="en-US" w:eastAsia="zh-CN"/>
        </w:rPr>
        <w:t>课程表</w:t>
      </w:r>
    </w:p>
    <w:p w14:paraId="71E69235">
      <w:pPr>
        <w:jc w:val="left"/>
        <w:rPr>
          <w:rFonts w:hint="eastAsia" w:ascii="Times New Roman" w:hAnsi="Times New Roman" w:eastAsia="楷体" w:cs="宋体"/>
          <w:b/>
          <w:bCs/>
          <w:sz w:val="24"/>
        </w:rPr>
      </w:pPr>
    </w:p>
    <w:p w14:paraId="45F70111">
      <w:pPr>
        <w:jc w:val="left"/>
        <w:rPr>
          <w:rFonts w:hint="eastAsia" w:ascii="Times New Roman" w:hAnsi="Times New Roman" w:eastAsia="楷体" w:cs="宋体"/>
          <w:b/>
          <w:bCs/>
          <w:sz w:val="22"/>
          <w:szCs w:val="21"/>
        </w:rPr>
      </w:pPr>
      <w:r>
        <w:rPr>
          <w:rFonts w:hint="eastAsia" w:ascii="Times New Roman" w:hAnsi="Times New Roman" w:eastAsia="楷体" w:cs="宋体"/>
          <w:b/>
          <w:bCs/>
          <w:sz w:val="24"/>
        </w:rPr>
        <w:t>培训地点：</w:t>
      </w:r>
      <w:r>
        <w:rPr>
          <w:rFonts w:hint="eastAsia" w:ascii="Times New Roman" w:hAnsi="Times New Roman" w:eastAsia="楷体" w:cs="宋体"/>
          <w:b/>
          <w:bCs/>
          <w:sz w:val="24"/>
          <w:lang w:val="en-US" w:eastAsia="zh-CN"/>
        </w:rPr>
        <w:t>重庆市</w:t>
      </w:r>
      <w:r>
        <w:rPr>
          <w:rFonts w:hint="eastAsia" w:ascii="Times New Roman" w:hAnsi="Times New Roman" w:eastAsia="楷体" w:cs="宋体"/>
          <w:b/>
          <w:bCs/>
          <w:sz w:val="24"/>
        </w:rPr>
        <w:t>重庆万豪酒店</w:t>
      </w:r>
      <w:r>
        <w:rPr>
          <w:rFonts w:hint="eastAsia" w:ascii="Times New Roman" w:hAnsi="Times New Roman" w:eastAsia="楷体" w:cs="宋体"/>
          <w:b/>
          <w:bCs/>
          <w:sz w:val="24"/>
          <w:lang w:val="en-US" w:eastAsia="zh-CN"/>
        </w:rPr>
        <w:t>三楼万豪厅</w:t>
      </w:r>
      <w:r>
        <w:rPr>
          <w:rFonts w:hint="eastAsia" w:ascii="Times New Roman" w:hAnsi="Times New Roman" w:eastAsia="楷体" w:cs="宋体"/>
          <w:b/>
          <w:bCs/>
          <w:sz w:val="24"/>
        </w:rPr>
        <w:t>（重庆市南岸区烟雨路9号）</w:t>
      </w:r>
    </w:p>
    <w:tbl>
      <w:tblPr>
        <w:tblStyle w:val="6"/>
        <w:tblpPr w:leftFromText="180" w:rightFromText="180" w:vertAnchor="text" w:horzAnchor="page" w:tblpX="1660" w:tblpY="109"/>
        <w:tblOverlap w:val="never"/>
        <w:tblW w:w="5221" w:type="pct"/>
        <w:tblInd w:w="0" w:type="dxa"/>
        <w:tblBorders>
          <w:top w:val="single" w:color="9CC2E5" w:sz="4" w:space="0"/>
          <w:left w:val="single" w:color="9CC2E5" w:sz="4" w:space="0"/>
          <w:bottom w:val="single" w:color="9CC2E5" w:sz="4" w:space="0"/>
          <w:right w:val="single" w:color="9CC2E5" w:sz="4" w:space="0"/>
          <w:insideH w:val="single" w:color="9CC2E5" w:sz="4" w:space="0"/>
          <w:insideV w:val="single" w:color="9CC2E5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83"/>
        <w:gridCol w:w="1514"/>
        <w:gridCol w:w="4563"/>
        <w:gridCol w:w="1639"/>
      </w:tblGrid>
      <w:tr w14:paraId="09D26732">
        <w:tblPrEx>
          <w:tblBorders>
            <w:top w:val="single" w:color="9CC2E5" w:sz="4" w:space="0"/>
            <w:left w:val="single" w:color="9CC2E5" w:sz="4" w:space="0"/>
            <w:bottom w:val="single" w:color="9CC2E5" w:sz="4" w:space="0"/>
            <w:right w:val="single" w:color="9CC2E5" w:sz="4" w:space="0"/>
            <w:insideH w:val="single" w:color="9CC2E5" w:sz="4" w:space="0"/>
            <w:insideV w:val="single" w:color="9CC2E5" w:sz="4" w:space="0"/>
          </w:tblBorders>
        </w:tblPrEx>
        <w:trPr>
          <w:trHeight w:val="639" w:hRule="atLeast"/>
        </w:trPr>
        <w:tc>
          <w:tcPr>
            <w:tcW w:w="1515" w:type="pct"/>
            <w:gridSpan w:val="2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nil"/>
            </w:tcBorders>
            <w:shd w:val="clear" w:color="auto" w:fill="4F81BD"/>
          </w:tcPr>
          <w:p w14:paraId="243F9529">
            <w:pPr>
              <w:jc w:val="center"/>
              <w:rPr>
                <w:rFonts w:ascii="Times New Roman" w:hAnsi="Times New Roman" w:eastAsia="仿宋_GB2312"/>
                <w:b/>
                <w:color w:val="FFFFFF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仿宋_GB2312"/>
                <w:b/>
                <w:bCs/>
                <w:color w:val="FFFFFF"/>
                <w:kern w:val="0"/>
                <w:sz w:val="28"/>
                <w:szCs w:val="28"/>
              </w:rPr>
              <w:t>培训日程</w:t>
            </w:r>
          </w:p>
        </w:tc>
        <w:tc>
          <w:tcPr>
            <w:tcW w:w="2564" w:type="pct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nil"/>
            </w:tcBorders>
            <w:shd w:val="clear" w:color="auto" w:fill="4F81BD"/>
          </w:tcPr>
          <w:p w14:paraId="7BB80466">
            <w:pPr>
              <w:jc w:val="center"/>
              <w:rPr>
                <w:rFonts w:ascii="Times New Roman" w:hAnsi="Times New Roman" w:eastAsia="仿宋_GB2312"/>
                <w:b/>
                <w:color w:val="FFFFFF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仿宋_GB2312"/>
                <w:b/>
                <w:bCs/>
                <w:color w:val="FFFFFF"/>
                <w:kern w:val="0"/>
                <w:sz w:val="28"/>
                <w:szCs w:val="28"/>
              </w:rPr>
              <w:t>具体环节课程安排</w:t>
            </w:r>
          </w:p>
        </w:tc>
        <w:tc>
          <w:tcPr>
            <w:tcW w:w="920" w:type="pct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nil"/>
            </w:tcBorders>
            <w:shd w:val="clear" w:color="auto" w:fill="4F81BD"/>
          </w:tcPr>
          <w:p w14:paraId="39177AF3">
            <w:pPr>
              <w:jc w:val="center"/>
              <w:rPr>
                <w:rFonts w:ascii="Times New Roman" w:hAnsi="Times New Roman" w:eastAsia="仿宋_GB2312"/>
                <w:b/>
                <w:bCs/>
                <w:color w:val="FFFFFF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仿宋_GB2312"/>
                <w:b/>
                <w:bCs/>
                <w:color w:val="FFFFFF"/>
                <w:kern w:val="0"/>
                <w:sz w:val="28"/>
                <w:szCs w:val="28"/>
              </w:rPr>
              <w:t>授课师资</w:t>
            </w:r>
          </w:p>
        </w:tc>
      </w:tr>
      <w:tr w14:paraId="4850868B">
        <w:tblPrEx>
          <w:tblBorders>
            <w:top w:val="single" w:color="9CC2E5" w:sz="4" w:space="0"/>
            <w:left w:val="single" w:color="9CC2E5" w:sz="4" w:space="0"/>
            <w:bottom w:val="single" w:color="9CC2E5" w:sz="4" w:space="0"/>
            <w:right w:val="single" w:color="9CC2E5" w:sz="4" w:space="0"/>
            <w:insideH w:val="single" w:color="9CC2E5" w:sz="4" w:space="0"/>
            <w:insideV w:val="single" w:color="9CC2E5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1" w:hRule="atLeast"/>
        </w:trPr>
        <w:tc>
          <w:tcPr>
            <w:tcW w:w="664" w:type="pct"/>
            <w:vMerge w:val="restar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center"/>
          </w:tcPr>
          <w:p w14:paraId="5F44C2AF">
            <w:pPr>
              <w:jc w:val="center"/>
              <w:rPr>
                <w:rFonts w:ascii="Times New Roman" w:hAnsi="Times New Roman" w:eastAsia="仿宋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4"/>
                <w:lang w:val="en-US" w:eastAsia="zh-CN"/>
              </w:rPr>
              <w:t>6</w:t>
            </w:r>
            <w:r>
              <w:rPr>
                <w:rFonts w:ascii="Times New Roman" w:hAnsi="Times New Roman" w:eastAsia="仿宋" w:cs="Times New Roman"/>
                <w:sz w:val="24"/>
                <w:szCs w:val="24"/>
              </w:rPr>
              <w:t>月2</w:t>
            </w:r>
            <w:r>
              <w:rPr>
                <w:rFonts w:hint="eastAsia" w:ascii="Times New Roman" w:hAnsi="Times New Roman" w:eastAsia="仿宋" w:cs="Times New Roman"/>
                <w:sz w:val="24"/>
                <w:szCs w:val="24"/>
                <w:lang w:val="en-US" w:eastAsia="zh-CN"/>
              </w:rPr>
              <w:t>6</w:t>
            </w:r>
            <w:r>
              <w:rPr>
                <w:rFonts w:ascii="Times New Roman" w:hAnsi="Times New Roman" w:eastAsia="仿宋" w:cs="Times New Roman"/>
                <w:sz w:val="24"/>
                <w:szCs w:val="24"/>
              </w:rPr>
              <w:t>日</w:t>
            </w:r>
          </w:p>
          <w:p w14:paraId="791BA090">
            <w:pPr>
              <w:pStyle w:val="2"/>
              <w:ind w:left="0" w:leftChars="0" w:firstLine="0" w:firstLineChars="0"/>
              <w:rPr>
                <w:rFonts w:hint="eastAsia" w:eastAsia="仿宋"/>
                <w:lang w:eastAsia="zh-CN"/>
              </w:rPr>
            </w:pPr>
            <w:r>
              <w:rPr>
                <w:rFonts w:hint="eastAsia" w:ascii="Times New Roman" w:hAnsi="Times New Roman" w:eastAsia="仿宋" w:cs="Times New Roman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Times New Roman" w:hAnsi="Times New Roman" w:eastAsia="仿宋" w:cs="Times New Roman"/>
                <w:sz w:val="24"/>
                <w:szCs w:val="24"/>
                <w:lang w:val="en-US" w:eastAsia="zh-CN"/>
              </w:rPr>
              <w:t>周四</w:t>
            </w:r>
            <w:r>
              <w:rPr>
                <w:rFonts w:hint="eastAsia" w:ascii="Times New Roman" w:hAnsi="Times New Roman" w:eastAsia="仿宋" w:cs="Times New Roman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850" w:type="pc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vAlign w:val="center"/>
          </w:tcPr>
          <w:p w14:paraId="796C0FE4">
            <w:pPr>
              <w:spacing w:line="320" w:lineRule="exact"/>
              <w:jc w:val="center"/>
              <w:rPr>
                <w:rFonts w:hint="default" w:ascii="Times New Roman" w:hAnsi="Times New Roman" w:eastAsia="仿宋" w:cs="仿宋_GB2312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ascii="Times New Roman" w:hAnsi="Times New Roman" w:eastAsia="仿宋"/>
                <w:sz w:val="24"/>
              </w:rPr>
              <w:t>9:30-</w:t>
            </w:r>
            <w:r>
              <w:rPr>
                <w:rFonts w:hint="eastAsia" w:ascii="Times New Roman" w:hAnsi="Times New Roman" w:eastAsia="仿宋"/>
                <w:sz w:val="24"/>
              </w:rPr>
              <w:t>9:45</w:t>
            </w:r>
          </w:p>
        </w:tc>
        <w:tc>
          <w:tcPr>
            <w:tcW w:w="45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vAlign w:val="center"/>
          </w:tcPr>
          <w:p w14:paraId="27041568">
            <w:pPr>
              <w:pStyle w:val="9"/>
              <w:spacing w:before="0" w:beforeAutospacing="0" w:after="0" w:line="320" w:lineRule="exact"/>
              <w:ind w:left="0" w:leftChars="0" w:firstLine="0" w:firstLineChars="0"/>
              <w:jc w:val="center"/>
              <w:rPr>
                <w:rFonts w:ascii="Times New Roman" w:hAnsi="Times New Roman" w:eastAsia="仿宋_GB2312" w:cs="仿宋_GB2312"/>
                <w:color w:val="000000"/>
                <w:kern w:val="0"/>
                <w:sz w:val="24"/>
              </w:rPr>
            </w:pPr>
            <w:r>
              <w:rPr>
                <w:rFonts w:ascii="Times New Roman" w:hAnsi="Times New Roman" w:eastAsia="仿宋" w:cs="Times New Roman"/>
                <w:sz w:val="24"/>
                <w:szCs w:val="24"/>
              </w:rPr>
              <w:t>开班、致辞</w:t>
            </w:r>
          </w:p>
        </w:tc>
        <w:tc>
          <w:tcPr>
            <w:tcW w:w="1639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vAlign w:val="center"/>
          </w:tcPr>
          <w:p w14:paraId="229ADC39">
            <w:pPr>
              <w:spacing w:line="320" w:lineRule="exact"/>
              <w:jc w:val="center"/>
              <w:rPr>
                <w:rFonts w:ascii="Times New Roman" w:hAnsi="Times New Roman" w:eastAsia="仿宋_GB2312" w:cs="仿宋_GB2312"/>
                <w:color w:val="000000"/>
                <w:kern w:val="0"/>
                <w:sz w:val="24"/>
              </w:rPr>
            </w:pPr>
            <w:r>
              <w:rPr>
                <w:rFonts w:ascii="Times New Roman" w:hAnsi="Times New Roman" w:eastAsia="仿宋" w:cs="Times New Roman"/>
                <w:sz w:val="24"/>
              </w:rPr>
              <w:t>上交所</w:t>
            </w:r>
          </w:p>
        </w:tc>
      </w:tr>
      <w:tr w14:paraId="3F60E00F">
        <w:tblPrEx>
          <w:tblBorders>
            <w:top w:val="single" w:color="9CC2E5" w:sz="4" w:space="0"/>
            <w:left w:val="single" w:color="9CC2E5" w:sz="4" w:space="0"/>
            <w:bottom w:val="single" w:color="9CC2E5" w:sz="4" w:space="0"/>
            <w:right w:val="single" w:color="9CC2E5" w:sz="4" w:space="0"/>
            <w:insideH w:val="single" w:color="9CC2E5" w:sz="4" w:space="0"/>
            <w:insideV w:val="single" w:color="9CC2E5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4" w:hRule="atLeast"/>
        </w:trPr>
        <w:tc>
          <w:tcPr>
            <w:tcW w:w="664" w:type="pct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 w14:paraId="415951C3">
            <w:pPr>
              <w:jc w:val="center"/>
              <w:rPr>
                <w:rFonts w:ascii="Times New Roman" w:hAnsi="Times New Roman" w:eastAsia="仿宋_GB2312" w:cs="仿宋_GB2312"/>
                <w:b/>
                <w:bCs/>
                <w:color w:val="000000"/>
                <w:kern w:val="0"/>
                <w:sz w:val="24"/>
                <w:szCs w:val="20"/>
              </w:rPr>
            </w:pPr>
          </w:p>
        </w:tc>
        <w:tc>
          <w:tcPr>
            <w:tcW w:w="850" w:type="pc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center"/>
          </w:tcPr>
          <w:p w14:paraId="525873B4">
            <w:pPr>
              <w:spacing w:line="320" w:lineRule="exact"/>
              <w:jc w:val="center"/>
              <w:rPr>
                <w:rFonts w:hint="default" w:ascii="Times New Roman" w:hAnsi="Times New Roman" w:eastAsia="仿宋" w:cs="仿宋_GB2312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eastAsia="仿宋"/>
                <w:sz w:val="24"/>
              </w:rPr>
              <w:t>9</w:t>
            </w:r>
            <w:r>
              <w:rPr>
                <w:rFonts w:ascii="Times New Roman" w:hAnsi="Times New Roman" w:eastAsia="仿宋"/>
                <w:sz w:val="24"/>
              </w:rPr>
              <w:t>:</w:t>
            </w:r>
            <w:r>
              <w:rPr>
                <w:rFonts w:hint="eastAsia" w:ascii="Times New Roman" w:hAnsi="Times New Roman" w:eastAsia="仿宋"/>
                <w:sz w:val="24"/>
              </w:rPr>
              <w:t>45</w:t>
            </w:r>
            <w:r>
              <w:rPr>
                <w:rFonts w:ascii="Times New Roman" w:hAnsi="Times New Roman" w:eastAsia="仿宋"/>
                <w:sz w:val="24"/>
              </w:rPr>
              <w:t>-1</w:t>
            </w:r>
            <w:r>
              <w:rPr>
                <w:rFonts w:hint="eastAsia" w:ascii="Times New Roman" w:hAnsi="Times New Roman" w:eastAsia="仿宋"/>
                <w:sz w:val="24"/>
              </w:rPr>
              <w:t>0</w:t>
            </w:r>
            <w:r>
              <w:rPr>
                <w:rFonts w:ascii="Times New Roman" w:hAnsi="Times New Roman" w:eastAsia="仿宋"/>
                <w:sz w:val="24"/>
              </w:rPr>
              <w:t>:</w:t>
            </w:r>
            <w:r>
              <w:rPr>
                <w:rFonts w:hint="eastAsia" w:ascii="Times New Roman" w:hAnsi="Times New Roman" w:eastAsia="仿宋"/>
                <w:sz w:val="24"/>
              </w:rPr>
              <w:t>45</w:t>
            </w:r>
          </w:p>
        </w:tc>
        <w:tc>
          <w:tcPr>
            <w:tcW w:w="45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center"/>
          </w:tcPr>
          <w:p w14:paraId="3C29EB07">
            <w:pPr>
              <w:pStyle w:val="5"/>
              <w:widowControl/>
              <w:spacing w:beforeAutospacing="0" w:afterAutospacing="0" w:line="400" w:lineRule="exact"/>
              <w:ind w:left="1928" w:hanging="1928" w:hangingChars="800"/>
              <w:jc w:val="both"/>
              <w:rPr>
                <w:rFonts w:ascii="Times New Roman" w:hAnsi="Times New Roman" w:eastAsia="仿宋"/>
                <w:b/>
                <w:bCs/>
                <w:kern w:val="2"/>
              </w:rPr>
            </w:pPr>
            <w:r>
              <w:rPr>
                <w:rFonts w:ascii="Times New Roman" w:hAnsi="Times New Roman" w:eastAsia="仿宋"/>
                <w:b/>
                <w:bCs/>
                <w:kern w:val="2"/>
              </w:rPr>
              <w:t>专题</w:t>
            </w:r>
            <w:r>
              <w:rPr>
                <w:rFonts w:hint="eastAsia" w:ascii="Times New Roman" w:hAnsi="Times New Roman" w:eastAsia="仿宋"/>
                <w:b/>
                <w:bCs/>
                <w:kern w:val="2"/>
              </w:rPr>
              <w:t>宣讲</w:t>
            </w:r>
            <w:r>
              <w:rPr>
                <w:rFonts w:ascii="Times New Roman" w:hAnsi="Times New Roman" w:eastAsia="仿宋"/>
                <w:b/>
                <w:bCs/>
                <w:kern w:val="2"/>
              </w:rPr>
              <w:t>：</w:t>
            </w:r>
          </w:p>
          <w:p w14:paraId="1DFE3DEC">
            <w:pPr>
              <w:pStyle w:val="5"/>
              <w:widowControl/>
              <w:spacing w:beforeAutospacing="0" w:afterAutospacing="0" w:line="400" w:lineRule="exact"/>
              <w:rPr>
                <w:rFonts w:ascii="Times New Roman" w:hAnsi="Times New Roman" w:eastAsia="仿宋"/>
                <w:kern w:val="2"/>
              </w:rPr>
            </w:pPr>
            <w:r>
              <w:rPr>
                <w:rFonts w:hint="eastAsia" w:ascii="Times New Roman" w:hAnsi="Times New Roman" w:eastAsia="仿宋"/>
                <w:kern w:val="2"/>
              </w:rPr>
              <w:t xml:space="preserve">高质量发展的中国资本市场            </w:t>
            </w:r>
          </w:p>
          <w:p w14:paraId="4BEFF96E">
            <w:pPr>
              <w:pStyle w:val="5"/>
              <w:widowControl/>
              <w:spacing w:beforeAutospacing="0" w:afterAutospacing="0" w:line="400" w:lineRule="exact"/>
              <w:ind w:left="1920" w:leftChars="0" w:hanging="1920" w:hangingChars="800"/>
              <w:jc w:val="right"/>
              <w:rPr>
                <w:rFonts w:ascii="Times New Roman" w:hAnsi="Times New Roman" w:eastAsia="仿宋_GB2312" w:cs="仿宋_GB2312"/>
                <w:color w:val="000000"/>
                <w:kern w:val="0"/>
                <w:sz w:val="24"/>
              </w:rPr>
            </w:pPr>
            <w:r>
              <w:rPr>
                <w:rFonts w:ascii="Times New Roman" w:hAnsi="Times New Roman" w:eastAsia="仿宋"/>
                <w:kern w:val="2"/>
              </w:rPr>
              <w:t>——</w:t>
            </w:r>
            <w:r>
              <w:rPr>
                <w:rFonts w:hint="eastAsia" w:ascii="Times New Roman" w:hAnsi="Times New Roman" w:eastAsia="仿宋"/>
                <w:kern w:val="2"/>
              </w:rPr>
              <w:t>2025年金融市场分析与应对策略</w:t>
            </w:r>
          </w:p>
        </w:tc>
        <w:tc>
          <w:tcPr>
            <w:tcW w:w="1639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center"/>
          </w:tcPr>
          <w:p w14:paraId="4D6FFF6D">
            <w:pPr>
              <w:spacing w:line="320" w:lineRule="exact"/>
              <w:jc w:val="center"/>
              <w:rPr>
                <w:rFonts w:hint="eastAsia" w:ascii="Times New Roman" w:hAnsi="Times New Roman" w:eastAsia="仿宋_GB2312" w:cs="仿宋_GB2312"/>
                <w:color w:val="000000"/>
                <w:kern w:val="0"/>
                <w:sz w:val="24"/>
                <w:lang w:eastAsia="zh-CN"/>
              </w:rPr>
            </w:pPr>
            <w:r>
              <w:rPr>
                <w:rFonts w:hint="eastAsia" w:ascii="Times New Roman" w:hAnsi="Times New Roman" w:eastAsia="仿宋" w:cs="Times New Roman"/>
                <w:sz w:val="24"/>
              </w:rPr>
              <w:t>市场机构</w:t>
            </w:r>
          </w:p>
        </w:tc>
      </w:tr>
      <w:tr w14:paraId="75C971CB">
        <w:tblPrEx>
          <w:tblBorders>
            <w:top w:val="single" w:color="9CC2E5" w:sz="4" w:space="0"/>
            <w:left w:val="single" w:color="9CC2E5" w:sz="4" w:space="0"/>
            <w:bottom w:val="single" w:color="9CC2E5" w:sz="4" w:space="0"/>
            <w:right w:val="single" w:color="9CC2E5" w:sz="4" w:space="0"/>
            <w:insideH w:val="single" w:color="9CC2E5" w:sz="4" w:space="0"/>
            <w:insideV w:val="single" w:color="9CC2E5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9" w:hRule="atLeast"/>
        </w:trPr>
        <w:tc>
          <w:tcPr>
            <w:tcW w:w="664" w:type="pct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 w14:paraId="7310E14B">
            <w:pPr>
              <w:jc w:val="center"/>
              <w:rPr>
                <w:rFonts w:ascii="Times New Roman" w:hAnsi="Times New Roman" w:eastAsia="仿宋_GB2312" w:cs="仿宋_GB2312"/>
                <w:b/>
                <w:bCs/>
                <w:color w:val="000000"/>
                <w:kern w:val="0"/>
                <w:sz w:val="24"/>
                <w:szCs w:val="20"/>
              </w:rPr>
            </w:pPr>
          </w:p>
        </w:tc>
        <w:tc>
          <w:tcPr>
            <w:tcW w:w="850" w:type="pc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vAlign w:val="center"/>
          </w:tcPr>
          <w:p w14:paraId="33C3BEAC">
            <w:pPr>
              <w:spacing w:line="320" w:lineRule="exact"/>
              <w:jc w:val="center"/>
              <w:rPr>
                <w:rFonts w:hint="default" w:ascii="Times New Roman" w:hAnsi="Times New Roman" w:eastAsia="仿宋" w:cs="仿宋_GB2312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ascii="Times New Roman" w:hAnsi="Times New Roman" w:eastAsia="仿宋"/>
                <w:sz w:val="24"/>
              </w:rPr>
              <w:t>1</w:t>
            </w:r>
            <w:r>
              <w:rPr>
                <w:rFonts w:hint="eastAsia" w:ascii="Times New Roman" w:hAnsi="Times New Roman" w:eastAsia="仿宋"/>
                <w:sz w:val="24"/>
              </w:rPr>
              <w:t>1</w:t>
            </w:r>
            <w:r>
              <w:rPr>
                <w:rFonts w:ascii="Times New Roman" w:hAnsi="Times New Roman" w:eastAsia="仿宋"/>
                <w:sz w:val="24"/>
              </w:rPr>
              <w:t>:</w:t>
            </w:r>
            <w:r>
              <w:rPr>
                <w:rFonts w:hint="eastAsia" w:ascii="Times New Roman" w:hAnsi="Times New Roman" w:eastAsia="仿宋"/>
                <w:sz w:val="24"/>
              </w:rPr>
              <w:t>0</w:t>
            </w:r>
            <w:r>
              <w:rPr>
                <w:rFonts w:ascii="Times New Roman" w:hAnsi="Times New Roman" w:eastAsia="仿宋"/>
                <w:sz w:val="24"/>
              </w:rPr>
              <w:t>0-1</w:t>
            </w:r>
            <w:r>
              <w:rPr>
                <w:rFonts w:hint="eastAsia" w:ascii="Times New Roman" w:hAnsi="Times New Roman" w:eastAsia="仿宋"/>
                <w:sz w:val="24"/>
              </w:rPr>
              <w:t>2</w:t>
            </w:r>
            <w:r>
              <w:rPr>
                <w:rFonts w:ascii="Times New Roman" w:hAnsi="Times New Roman" w:eastAsia="仿宋"/>
                <w:sz w:val="24"/>
              </w:rPr>
              <w:t>:</w:t>
            </w:r>
            <w:r>
              <w:rPr>
                <w:rFonts w:hint="eastAsia" w:ascii="Times New Roman" w:hAnsi="Times New Roman" w:eastAsia="仿宋"/>
                <w:sz w:val="24"/>
              </w:rPr>
              <w:t>00</w:t>
            </w:r>
          </w:p>
        </w:tc>
        <w:tc>
          <w:tcPr>
            <w:tcW w:w="45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vAlign w:val="center"/>
          </w:tcPr>
          <w:p w14:paraId="404E1E06">
            <w:pPr>
              <w:pStyle w:val="5"/>
              <w:widowControl/>
              <w:spacing w:beforeAutospacing="0" w:afterAutospacing="0" w:line="400" w:lineRule="exact"/>
              <w:rPr>
                <w:rFonts w:ascii="Times New Roman" w:hAnsi="Times New Roman" w:eastAsia="仿宋"/>
                <w:b/>
                <w:bCs/>
                <w:kern w:val="2"/>
              </w:rPr>
            </w:pPr>
            <w:r>
              <w:rPr>
                <w:rFonts w:hint="eastAsia" w:ascii="Times New Roman" w:hAnsi="Times New Roman" w:eastAsia="仿宋"/>
                <w:b/>
                <w:bCs/>
                <w:kern w:val="2"/>
              </w:rPr>
              <w:t>专题宣讲：</w:t>
            </w:r>
          </w:p>
          <w:p w14:paraId="7863B7E7">
            <w:pPr>
              <w:pStyle w:val="5"/>
              <w:widowControl/>
              <w:spacing w:beforeAutospacing="0" w:afterAutospacing="0" w:line="400" w:lineRule="exact"/>
              <w:rPr>
                <w:rFonts w:ascii="Times New Roman" w:hAnsi="Times New Roman" w:eastAsia="仿宋"/>
                <w:bCs/>
                <w:kern w:val="2"/>
              </w:rPr>
            </w:pPr>
            <w:r>
              <w:rPr>
                <w:rFonts w:hint="eastAsia" w:ascii="Times New Roman" w:hAnsi="Times New Roman" w:eastAsia="仿宋"/>
                <w:bCs/>
                <w:kern w:val="2"/>
              </w:rPr>
              <w:t>指数高质量发展助力投资端改革</w:t>
            </w:r>
          </w:p>
          <w:p w14:paraId="439AD7E5">
            <w:pPr>
              <w:pStyle w:val="5"/>
              <w:widowControl/>
              <w:spacing w:beforeAutospacing="0" w:afterAutospacing="0" w:line="400" w:lineRule="exact"/>
              <w:jc w:val="right"/>
              <w:rPr>
                <w:rFonts w:ascii="Times New Roman" w:hAnsi="Times New Roman" w:eastAsia="仿宋_GB2312" w:cs="仿宋_GB2312"/>
                <w:color w:val="000000"/>
                <w:kern w:val="0"/>
                <w:sz w:val="24"/>
              </w:rPr>
            </w:pPr>
            <w:r>
              <w:rPr>
                <w:rFonts w:ascii="Times New Roman" w:hAnsi="Times New Roman" w:eastAsia="仿宋"/>
                <w:kern w:val="2"/>
              </w:rPr>
              <w:t>——</w:t>
            </w:r>
            <w:r>
              <w:rPr>
                <w:rFonts w:hint="eastAsia" w:ascii="Times New Roman" w:hAnsi="Times New Roman" w:eastAsia="仿宋"/>
                <w:kern w:val="2"/>
              </w:rPr>
              <w:t>指数化投资趋势、创新与应用</w:t>
            </w:r>
          </w:p>
        </w:tc>
        <w:tc>
          <w:tcPr>
            <w:tcW w:w="1639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vAlign w:val="center"/>
          </w:tcPr>
          <w:p w14:paraId="235252C5">
            <w:pPr>
              <w:spacing w:line="320" w:lineRule="exact"/>
              <w:jc w:val="center"/>
              <w:rPr>
                <w:rFonts w:ascii="Times New Roman" w:hAnsi="Times New Roman" w:eastAsia="仿宋_GB2312" w:cs="仿宋_GB2312"/>
                <w:color w:val="000000"/>
                <w:kern w:val="0"/>
                <w:sz w:val="24"/>
              </w:rPr>
            </w:pPr>
            <w:r>
              <w:rPr>
                <w:rFonts w:hint="eastAsia" w:ascii="Times New Roman" w:hAnsi="Times New Roman" w:eastAsia="仿宋" w:cs="Times New Roman"/>
                <w:sz w:val="24"/>
              </w:rPr>
              <w:t>上交所</w:t>
            </w:r>
          </w:p>
        </w:tc>
      </w:tr>
      <w:tr w14:paraId="768A7D94">
        <w:tblPrEx>
          <w:tblBorders>
            <w:top w:val="single" w:color="9CC2E5" w:sz="4" w:space="0"/>
            <w:left w:val="single" w:color="9CC2E5" w:sz="4" w:space="0"/>
            <w:bottom w:val="single" w:color="9CC2E5" w:sz="4" w:space="0"/>
            <w:right w:val="single" w:color="9CC2E5" w:sz="4" w:space="0"/>
            <w:insideH w:val="single" w:color="9CC2E5" w:sz="4" w:space="0"/>
            <w:insideV w:val="single" w:color="9CC2E5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02" w:hRule="atLeast"/>
        </w:trPr>
        <w:tc>
          <w:tcPr>
            <w:tcW w:w="664" w:type="pct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</w:tcPr>
          <w:p w14:paraId="72244296">
            <w:pPr>
              <w:jc w:val="center"/>
              <w:rPr>
                <w:rFonts w:ascii="Times New Roman" w:hAnsi="Times New Roman" w:eastAsia="仿宋_GB2312" w:cs="仿宋_GB2312"/>
                <w:b/>
                <w:bCs/>
                <w:color w:val="000000"/>
                <w:kern w:val="0"/>
                <w:sz w:val="24"/>
                <w:szCs w:val="20"/>
              </w:rPr>
            </w:pPr>
          </w:p>
        </w:tc>
        <w:tc>
          <w:tcPr>
            <w:tcW w:w="850" w:type="pc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center"/>
          </w:tcPr>
          <w:p w14:paraId="275AED97">
            <w:pPr>
              <w:spacing w:line="320" w:lineRule="exact"/>
              <w:jc w:val="center"/>
              <w:rPr>
                <w:rFonts w:hint="default" w:ascii="Times New Roman" w:hAnsi="Times New Roman" w:eastAsia="仿宋" w:cs="仿宋_GB2312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eastAsia="仿宋"/>
                <w:sz w:val="24"/>
              </w:rPr>
              <w:t>13</w:t>
            </w:r>
            <w:r>
              <w:rPr>
                <w:rFonts w:ascii="Times New Roman" w:hAnsi="Times New Roman" w:eastAsia="仿宋"/>
                <w:sz w:val="24"/>
              </w:rPr>
              <w:t>:</w:t>
            </w:r>
            <w:r>
              <w:rPr>
                <w:rFonts w:hint="eastAsia" w:ascii="Times New Roman" w:hAnsi="Times New Roman" w:eastAsia="仿宋"/>
                <w:sz w:val="24"/>
              </w:rPr>
              <w:t>3</w:t>
            </w:r>
            <w:r>
              <w:rPr>
                <w:rFonts w:ascii="Times New Roman" w:hAnsi="Times New Roman" w:eastAsia="仿宋"/>
                <w:sz w:val="24"/>
              </w:rPr>
              <w:t>0-1</w:t>
            </w:r>
            <w:r>
              <w:rPr>
                <w:rFonts w:hint="eastAsia" w:ascii="Times New Roman" w:hAnsi="Times New Roman" w:eastAsia="仿宋"/>
                <w:sz w:val="24"/>
              </w:rPr>
              <w:t>4</w:t>
            </w:r>
            <w:r>
              <w:rPr>
                <w:rFonts w:ascii="Times New Roman" w:hAnsi="Times New Roman" w:eastAsia="仿宋"/>
                <w:sz w:val="24"/>
              </w:rPr>
              <w:t>:</w:t>
            </w:r>
            <w:r>
              <w:rPr>
                <w:rFonts w:hint="eastAsia" w:ascii="Times New Roman" w:hAnsi="Times New Roman" w:eastAsia="仿宋"/>
                <w:sz w:val="24"/>
              </w:rPr>
              <w:t>30</w:t>
            </w:r>
          </w:p>
        </w:tc>
        <w:tc>
          <w:tcPr>
            <w:tcW w:w="45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center"/>
          </w:tcPr>
          <w:p w14:paraId="6307EF69">
            <w:pPr>
              <w:pStyle w:val="5"/>
              <w:widowControl/>
              <w:spacing w:beforeAutospacing="0" w:afterAutospacing="0" w:line="400" w:lineRule="exact"/>
              <w:rPr>
                <w:rFonts w:ascii="Times New Roman" w:hAnsi="Times New Roman" w:eastAsia="仿宋"/>
                <w:b/>
                <w:bCs/>
                <w:kern w:val="2"/>
              </w:rPr>
            </w:pPr>
            <w:r>
              <w:rPr>
                <w:rFonts w:ascii="Times New Roman" w:hAnsi="Times New Roman" w:eastAsia="仿宋"/>
                <w:b/>
                <w:bCs/>
                <w:kern w:val="2"/>
              </w:rPr>
              <w:t>专题</w:t>
            </w:r>
            <w:r>
              <w:rPr>
                <w:rFonts w:hint="eastAsia" w:ascii="Times New Roman" w:hAnsi="Times New Roman" w:eastAsia="仿宋"/>
                <w:b/>
                <w:bCs/>
                <w:kern w:val="2"/>
              </w:rPr>
              <w:t>宣讲</w:t>
            </w:r>
            <w:r>
              <w:rPr>
                <w:rFonts w:ascii="Times New Roman" w:hAnsi="Times New Roman" w:eastAsia="仿宋"/>
                <w:b/>
                <w:bCs/>
                <w:kern w:val="2"/>
              </w:rPr>
              <w:t>：</w:t>
            </w:r>
          </w:p>
          <w:p w14:paraId="0FFEFBBE">
            <w:pPr>
              <w:pStyle w:val="5"/>
              <w:widowControl/>
              <w:spacing w:beforeAutospacing="0" w:afterAutospacing="0" w:line="400" w:lineRule="exact"/>
              <w:rPr>
                <w:rFonts w:ascii="Times New Roman" w:hAnsi="Times New Roman" w:eastAsia="仿宋"/>
                <w:bCs/>
                <w:kern w:val="2"/>
              </w:rPr>
            </w:pPr>
            <w:r>
              <w:rPr>
                <w:rFonts w:hint="eastAsia" w:ascii="Times New Roman" w:hAnsi="Times New Roman" w:eastAsia="仿宋"/>
                <w:bCs/>
                <w:kern w:val="2"/>
              </w:rPr>
              <w:t>期现联动助力资本市场高质量发展</w:t>
            </w:r>
          </w:p>
          <w:p w14:paraId="685B11DB">
            <w:pPr>
              <w:pStyle w:val="5"/>
              <w:widowControl/>
              <w:spacing w:beforeAutospacing="0" w:afterAutospacing="0" w:line="400" w:lineRule="exact"/>
              <w:jc w:val="right"/>
              <w:rPr>
                <w:rFonts w:ascii="Times New Roman" w:hAnsi="Times New Roman" w:eastAsia="仿宋_GB2312" w:cs="仿宋_GB2312"/>
                <w:color w:val="000000"/>
                <w:kern w:val="0"/>
                <w:sz w:val="24"/>
              </w:rPr>
            </w:pPr>
            <w:r>
              <w:rPr>
                <w:rFonts w:hint="eastAsia" w:ascii="Times New Roman" w:hAnsi="Times New Roman" w:eastAsia="仿宋"/>
                <w:kern w:val="2"/>
              </w:rPr>
              <w:t xml:space="preserve">          </w:t>
            </w:r>
            <w:r>
              <w:rPr>
                <w:rFonts w:ascii="Times New Roman" w:hAnsi="Times New Roman" w:eastAsia="仿宋"/>
                <w:kern w:val="2"/>
              </w:rPr>
              <w:t>——</w:t>
            </w:r>
            <w:r>
              <w:rPr>
                <w:rFonts w:hint="eastAsia" w:ascii="Times New Roman" w:hAnsi="Times New Roman" w:eastAsia="仿宋"/>
                <w:kern w:val="2"/>
              </w:rPr>
              <w:t>衍生品在资产管理中的运用</w:t>
            </w:r>
          </w:p>
        </w:tc>
        <w:tc>
          <w:tcPr>
            <w:tcW w:w="1639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center"/>
          </w:tcPr>
          <w:p w14:paraId="0DE9B3BE">
            <w:pPr>
              <w:spacing w:line="320" w:lineRule="exact"/>
              <w:jc w:val="center"/>
              <w:rPr>
                <w:rFonts w:ascii="Times New Roman" w:hAnsi="Times New Roman" w:eastAsia="仿宋_GB2312" w:cs="仿宋_GB2312"/>
                <w:color w:val="000000"/>
                <w:kern w:val="0"/>
                <w:sz w:val="24"/>
              </w:rPr>
            </w:pPr>
            <w:r>
              <w:rPr>
                <w:rFonts w:hint="eastAsia" w:ascii="Times New Roman" w:hAnsi="Times New Roman" w:eastAsia="仿宋" w:cs="Times New Roman"/>
                <w:sz w:val="24"/>
              </w:rPr>
              <w:t>市场</w:t>
            </w:r>
            <w:r>
              <w:rPr>
                <w:rFonts w:ascii="Times New Roman" w:hAnsi="Times New Roman" w:eastAsia="仿宋" w:cs="Times New Roman"/>
                <w:sz w:val="24"/>
              </w:rPr>
              <w:t>机构</w:t>
            </w:r>
          </w:p>
        </w:tc>
      </w:tr>
      <w:tr w14:paraId="1C5EC308">
        <w:tblPrEx>
          <w:tblBorders>
            <w:top w:val="single" w:color="9CC2E5" w:sz="4" w:space="0"/>
            <w:left w:val="single" w:color="9CC2E5" w:sz="4" w:space="0"/>
            <w:bottom w:val="single" w:color="9CC2E5" w:sz="4" w:space="0"/>
            <w:right w:val="single" w:color="9CC2E5" w:sz="4" w:space="0"/>
            <w:insideH w:val="single" w:color="9CC2E5" w:sz="4" w:space="0"/>
            <w:insideV w:val="single" w:color="9CC2E5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2" w:hRule="atLeast"/>
        </w:trPr>
        <w:tc>
          <w:tcPr>
            <w:tcW w:w="664" w:type="pct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 w14:paraId="43B888C2">
            <w:pPr>
              <w:jc w:val="center"/>
              <w:rPr>
                <w:rFonts w:ascii="Times New Roman" w:hAnsi="Times New Roman" w:eastAsia="仿宋_GB2312" w:cs="仿宋_GB2312"/>
                <w:b/>
                <w:bCs/>
                <w:color w:val="000000"/>
                <w:kern w:val="0"/>
                <w:sz w:val="28"/>
                <w:szCs w:val="28"/>
              </w:rPr>
            </w:pPr>
          </w:p>
        </w:tc>
        <w:tc>
          <w:tcPr>
            <w:tcW w:w="850" w:type="pc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vAlign w:val="center"/>
          </w:tcPr>
          <w:p w14:paraId="05FEC19A">
            <w:pPr>
              <w:spacing w:line="320" w:lineRule="exact"/>
              <w:jc w:val="center"/>
              <w:rPr>
                <w:rFonts w:hint="default" w:ascii="Times New Roman" w:hAnsi="Times New Roman" w:eastAsia="仿宋" w:cs="仿宋_GB2312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ascii="Times New Roman" w:hAnsi="Times New Roman" w:eastAsia="仿宋"/>
                <w:sz w:val="24"/>
              </w:rPr>
              <w:t>15:</w:t>
            </w:r>
            <w:r>
              <w:rPr>
                <w:rFonts w:hint="eastAsia" w:ascii="Times New Roman" w:hAnsi="Times New Roman" w:eastAsia="仿宋"/>
                <w:sz w:val="24"/>
              </w:rPr>
              <w:t>00</w:t>
            </w:r>
            <w:r>
              <w:rPr>
                <w:rFonts w:ascii="Times New Roman" w:hAnsi="Times New Roman" w:eastAsia="仿宋"/>
                <w:sz w:val="24"/>
              </w:rPr>
              <w:t>-1</w:t>
            </w:r>
            <w:r>
              <w:rPr>
                <w:rFonts w:hint="eastAsia" w:ascii="Times New Roman" w:hAnsi="Times New Roman" w:eastAsia="仿宋"/>
                <w:sz w:val="24"/>
              </w:rPr>
              <w:t>6</w:t>
            </w:r>
            <w:r>
              <w:rPr>
                <w:rFonts w:ascii="Times New Roman" w:hAnsi="Times New Roman" w:eastAsia="仿宋"/>
                <w:sz w:val="24"/>
              </w:rPr>
              <w:t>:</w:t>
            </w:r>
            <w:r>
              <w:rPr>
                <w:rFonts w:hint="eastAsia" w:ascii="Times New Roman" w:hAnsi="Times New Roman" w:eastAsia="仿宋"/>
                <w:sz w:val="24"/>
              </w:rPr>
              <w:t>30</w:t>
            </w:r>
          </w:p>
        </w:tc>
        <w:tc>
          <w:tcPr>
            <w:tcW w:w="45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vAlign w:val="center"/>
          </w:tcPr>
          <w:p w14:paraId="1D5CD111">
            <w:pPr>
              <w:pStyle w:val="5"/>
              <w:widowControl/>
              <w:spacing w:beforeAutospacing="0" w:afterAutospacing="0" w:line="400" w:lineRule="exact"/>
              <w:rPr>
                <w:rFonts w:ascii="Times New Roman" w:hAnsi="Times New Roman" w:eastAsia="仿宋"/>
                <w:b/>
                <w:bCs/>
                <w:kern w:val="2"/>
              </w:rPr>
            </w:pPr>
            <w:r>
              <w:rPr>
                <w:rFonts w:ascii="Times New Roman" w:hAnsi="Times New Roman" w:eastAsia="仿宋"/>
                <w:b/>
                <w:bCs/>
                <w:kern w:val="2"/>
              </w:rPr>
              <w:t>专题</w:t>
            </w:r>
            <w:r>
              <w:rPr>
                <w:rFonts w:hint="eastAsia" w:ascii="Times New Roman" w:hAnsi="Times New Roman" w:eastAsia="仿宋"/>
                <w:b/>
                <w:bCs/>
                <w:kern w:val="2"/>
              </w:rPr>
              <w:t>宣讲</w:t>
            </w:r>
            <w:r>
              <w:rPr>
                <w:rFonts w:ascii="Times New Roman" w:hAnsi="Times New Roman" w:eastAsia="仿宋"/>
                <w:b/>
                <w:bCs/>
                <w:kern w:val="2"/>
              </w:rPr>
              <w:t>：</w:t>
            </w:r>
          </w:p>
          <w:p w14:paraId="02C68A67">
            <w:pPr>
              <w:pStyle w:val="5"/>
              <w:widowControl/>
              <w:spacing w:beforeAutospacing="0" w:afterAutospacing="0" w:line="400" w:lineRule="exact"/>
              <w:rPr>
                <w:rFonts w:ascii="Times New Roman" w:hAnsi="Times New Roman" w:eastAsia="仿宋"/>
                <w:kern w:val="2"/>
              </w:rPr>
            </w:pPr>
            <w:r>
              <w:rPr>
                <w:rFonts w:hint="eastAsia" w:ascii="Times New Roman" w:hAnsi="Times New Roman" w:eastAsia="仿宋"/>
                <w:kern w:val="2"/>
              </w:rPr>
              <w:t>不动产投资的破局和思考</w:t>
            </w:r>
          </w:p>
          <w:p w14:paraId="747E8462">
            <w:pPr>
              <w:pStyle w:val="5"/>
              <w:widowControl/>
              <w:spacing w:beforeAutospacing="0" w:afterAutospacing="0" w:line="400" w:lineRule="exact"/>
              <w:ind w:firstLine="720" w:firstLineChars="300"/>
              <w:jc w:val="right"/>
              <w:rPr>
                <w:rFonts w:ascii="Times New Roman" w:hAnsi="Times New Roman" w:eastAsia="仿宋_GB2312" w:cs="仿宋_GB2312"/>
                <w:color w:val="000000"/>
                <w:kern w:val="0"/>
                <w:sz w:val="24"/>
              </w:rPr>
            </w:pPr>
            <w:r>
              <w:rPr>
                <w:rFonts w:ascii="Times New Roman" w:hAnsi="Times New Roman" w:eastAsia="仿宋"/>
                <w:kern w:val="2"/>
              </w:rPr>
              <w:t>——</w:t>
            </w:r>
            <w:r>
              <w:rPr>
                <w:rFonts w:hint="eastAsia" w:ascii="Times New Roman" w:hAnsi="Times New Roman" w:eastAsia="仿宋"/>
                <w:kern w:val="2"/>
              </w:rPr>
              <w:t>如何投资基础设施</w:t>
            </w:r>
            <w:r>
              <w:rPr>
                <w:rFonts w:ascii="Times New Roman" w:hAnsi="Times New Roman" w:eastAsia="仿宋"/>
                <w:kern w:val="2"/>
              </w:rPr>
              <w:t>REIT</w:t>
            </w:r>
            <w:r>
              <w:rPr>
                <w:rFonts w:hint="eastAsia" w:ascii="Times New Roman" w:hAnsi="Times New Roman" w:eastAsia="仿宋"/>
                <w:kern w:val="2"/>
              </w:rPr>
              <w:t>s</w:t>
            </w:r>
          </w:p>
        </w:tc>
        <w:tc>
          <w:tcPr>
            <w:tcW w:w="1639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vAlign w:val="center"/>
          </w:tcPr>
          <w:p w14:paraId="3F551DBD">
            <w:pPr>
              <w:spacing w:line="320" w:lineRule="exact"/>
              <w:jc w:val="center"/>
              <w:rPr>
                <w:rFonts w:ascii="Times New Roman" w:hAnsi="Times New Roman" w:eastAsia="仿宋_GB2312" w:cs="仿宋_GB2312"/>
                <w:color w:val="000000"/>
                <w:kern w:val="0"/>
                <w:sz w:val="24"/>
              </w:rPr>
            </w:pPr>
            <w:r>
              <w:rPr>
                <w:rFonts w:hint="eastAsia" w:ascii="Times New Roman" w:hAnsi="Times New Roman" w:eastAsia="仿宋" w:cs="Times New Roman"/>
                <w:sz w:val="24"/>
              </w:rPr>
              <w:t>上交所</w:t>
            </w:r>
          </w:p>
        </w:tc>
      </w:tr>
    </w:tbl>
    <w:p w14:paraId="69303035">
      <w:pPr>
        <w:jc w:val="left"/>
        <w:rPr>
          <w:rFonts w:hint="eastAsia" w:ascii="Times New Roman" w:hAnsi="Times New Roman" w:eastAsia="楷体" w:cs="宋体"/>
          <w:b/>
          <w:bCs/>
          <w:sz w:val="24"/>
        </w:rPr>
      </w:pPr>
    </w:p>
    <w:p w14:paraId="23CDCFE2">
      <w:pPr>
        <w:rPr>
          <w:rFonts w:hint="eastAsia" w:eastAsia="楷体"/>
          <w:lang w:eastAsia="zh-CN"/>
        </w:rPr>
      </w:pPr>
      <w:r>
        <w:rPr>
          <w:rFonts w:hint="eastAsia" w:ascii="Times New Roman" w:hAnsi="Times New Roman" w:eastAsia="楷体" w:cs="宋体"/>
          <w:sz w:val="24"/>
        </w:rPr>
        <w:t>（具体课程安排</w:t>
      </w:r>
      <w:r>
        <w:rPr>
          <w:rFonts w:hint="eastAsia" w:ascii="Times New Roman" w:hAnsi="Times New Roman" w:eastAsia="楷体" w:cs="宋体"/>
          <w:sz w:val="24"/>
          <w:lang w:eastAsia="zh-CN"/>
        </w:rPr>
        <w:t>可能</w:t>
      </w:r>
      <w:r>
        <w:rPr>
          <w:rFonts w:hint="eastAsia" w:ascii="Times New Roman" w:hAnsi="Times New Roman" w:eastAsia="楷体" w:cs="宋体"/>
          <w:sz w:val="24"/>
        </w:rPr>
        <w:t>根据实际情况进行调整</w:t>
      </w:r>
      <w:r>
        <w:rPr>
          <w:rFonts w:hint="eastAsia" w:ascii="Times New Roman" w:hAnsi="Times New Roman" w:eastAsia="楷体" w:cs="宋体"/>
          <w:sz w:val="24"/>
          <w:lang w:eastAsia="zh-CN"/>
        </w:rPr>
        <w:t>，以培训当天安排为准）</w:t>
      </w:r>
    </w:p>
    <w:sectPr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3ABD1C50-891F-9293-6B6C-4A68BB95BBFA}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2A25544B-3F43-1836-6B6C-4A68429805C5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  <w:embedRegular r:id="rId3" w:fontKey="{47992D6B-58F6-24DC-6B6C-4A68F66524F1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4" w:fontKey="{CB84E887-586C-E8F3-6B6C-4A688748D2C8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5" w:fontKey="{196D7060-5AAB-F1E0-6B6C-4A684433A49F}"/>
  </w:font>
  <w:font w:name="Tahoma">
    <w:altName w:val="DejaVu Sans"/>
    <w:panose1 w:val="020B0604030504040204"/>
    <w:charset w:val="00"/>
    <w:family w:val="swiss"/>
    <w:pitch w:val="default"/>
    <w:sig w:usb0="00000000" w:usb1="00000000" w:usb2="00000029" w:usb3="00000000" w:csb0="200101FF" w:csb1="20280000"/>
  </w:font>
  <w:font w:name="楷体">
    <w:altName w:val="方正楷体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方正楷体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6" w:fontKey="{3C5270DB-9BC6-D4BB-6B6C-4A68C140080B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7" w:fontKey="{BE903085-A667-17B8-6B6C-4A6894479549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8" w:fontKey="{1E2C009E-E16A-FEAE-6B6C-4A689E1CD28D}"/>
  </w:font>
  <w:font w:name="方正大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9" w:fontKey="{7760F72E-D4A0-FF18-6B6C-4A68109B4CC2}"/>
  </w:font>
  <w:font w:name="汉仪行楷简">
    <w:panose1 w:val="02010600000101010101"/>
    <w:charset w:val="86"/>
    <w:family w:val="auto"/>
    <w:pitch w:val="default"/>
    <w:sig w:usb0="00000001" w:usb1="080E0800" w:usb2="00000002" w:usb3="00000000" w:csb0="00040000" w:csb1="00000000"/>
    <w:embedRegular r:id="rId10" w:fontKey="{3C5E67BF-760E-BA12-6B6C-4A68568E7045}"/>
  </w:font>
  <w:font w:name="楷体_GB2312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11" w:fontKey="{7448159F-21A7-C56D-6B6C-4A688ADF1159}"/>
  </w:font>
  <w:font w:name="方正黑体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12" w:fontKey="{45A18820-1751-BC05-6B6C-4A680E71BF53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40376BC"/>
    <w:rsid w:val="10CC3E59"/>
    <w:rsid w:val="12592623"/>
    <w:rsid w:val="172F04B2"/>
    <w:rsid w:val="25AB02BB"/>
    <w:rsid w:val="26371684"/>
    <w:rsid w:val="2AF874C7"/>
    <w:rsid w:val="30450B65"/>
    <w:rsid w:val="30976D05"/>
    <w:rsid w:val="31DA3AEF"/>
    <w:rsid w:val="365E5DA3"/>
    <w:rsid w:val="39693F38"/>
    <w:rsid w:val="3AFC19D9"/>
    <w:rsid w:val="3B2A2088"/>
    <w:rsid w:val="3D3E45FC"/>
    <w:rsid w:val="4091073C"/>
    <w:rsid w:val="540376BC"/>
    <w:rsid w:val="56260A77"/>
    <w:rsid w:val="5F6F1F5E"/>
    <w:rsid w:val="6A3A2708"/>
    <w:rsid w:val="6EDF6CBC"/>
    <w:rsid w:val="6F0E458B"/>
    <w:rsid w:val="74CA78B6"/>
    <w:rsid w:val="79E9735F"/>
    <w:rsid w:val="7C7A1710"/>
    <w:rsid w:val="7E5F4018"/>
    <w:rsid w:val="7EA0012F"/>
    <w:rsid w:val="7FDFB3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iPriority="99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11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unhideWhenUsed/>
    <w:qFormat/>
    <w:uiPriority w:val="99"/>
    <w:pPr>
      <w:ind w:firstLine="420"/>
    </w:pPr>
  </w:style>
  <w:style w:type="paragraph" w:styleId="3">
    <w:name w:val="Body Text"/>
    <w:basedOn w:val="1"/>
    <w:unhideWhenUsed/>
    <w:qFormat/>
    <w:uiPriority w:val="99"/>
    <w:rPr>
      <w:rFonts w:hint="eastAsia" w:eastAsia="仿宋_GB2312"/>
      <w:sz w:val="28"/>
      <w:szCs w:val="31"/>
    </w:rPr>
  </w:style>
  <w:style w:type="paragraph" w:styleId="4">
    <w:name w:val="Subtitle"/>
    <w:basedOn w:val="1"/>
    <w:qFormat/>
    <w:uiPriority w:val="11"/>
    <w:pPr>
      <w:widowControl/>
      <w:jc w:val="center"/>
    </w:pPr>
    <w:rPr>
      <w:rFonts w:ascii="Tahoma" w:hAnsi="Tahoma"/>
      <w:kern w:val="0"/>
      <w:sz w:val="28"/>
      <w:szCs w:val="20"/>
      <w:lang w:eastAsia="en-US"/>
    </w:rPr>
  </w:style>
  <w:style w:type="paragraph" w:styleId="5">
    <w:name w:val="Normal (Web)"/>
    <w:basedOn w:val="1"/>
    <w:semiHidden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customStyle="1" w:styleId="8">
    <w:name w:val="网格表 4 - 着色 11"/>
    <w:basedOn w:val="6"/>
    <w:qFormat/>
    <w:uiPriority w:val="49"/>
    <w:rPr>
      <w:rFonts w:ascii="Times New Roman" w:hAnsi="Times New Roman" w:eastAsia="宋体" w:cs="Times New Roman"/>
    </w:rPr>
    <w:tblPr>
      <w:tblBorders>
        <w:top w:val="single" w:color="9CC2E5" w:themeColor="accent1" w:themeTint="99" w:sz="4" w:space="0"/>
        <w:left w:val="single" w:color="9CC2E5" w:themeColor="accent1" w:themeTint="99" w:sz="4" w:space="0"/>
        <w:bottom w:val="single" w:color="9CC2E5" w:themeColor="accent1" w:themeTint="99" w:sz="4" w:space="0"/>
        <w:right w:val="single" w:color="9CC2E5" w:themeColor="accent1" w:themeTint="99" w:sz="4" w:space="0"/>
        <w:insideH w:val="single" w:color="9CC2E5" w:themeColor="accent1" w:themeTint="99" w:sz="4" w:space="0"/>
        <w:insideV w:val="single" w:color="9CC2E5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5B9BD5" w:themeColor="accent1" w:sz="4" w:space="0"/>
          <w:left w:val="single" w:color="5B9BD5" w:themeColor="accent1" w:sz="4" w:space="0"/>
          <w:bottom w:val="single" w:color="5B9BD5" w:themeColor="accent1" w:sz="4" w:space="0"/>
          <w:right w:val="single" w:color="5B9BD5" w:themeColor="accent1" w:sz="4" w:space="0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cPr>
        <w:tcBorders>
          <w:top w:val="double" w:color="5B9BD5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EEAF6" w:themeFill="accent1" w:themeFillTint="33"/>
      </w:tcPr>
    </w:tblStylePr>
    <w:tblStylePr w:type="band1Horz">
      <w:tcPr>
        <w:shd w:val="clear" w:color="auto" w:fill="DEEAF6" w:themeFill="accent1" w:themeFillTint="33"/>
      </w:tcPr>
    </w:tblStylePr>
  </w:style>
  <w:style w:type="paragraph" w:customStyle="1" w:styleId="9">
    <w:name w:val="正文首行缩进 21"/>
    <w:basedOn w:val="1"/>
    <w:autoRedefine/>
    <w:qFormat/>
    <w:uiPriority w:val="0"/>
    <w:pPr>
      <w:spacing w:before="100" w:beforeAutospacing="1" w:after="120"/>
      <w:ind w:left="420" w:leftChars="200" w:firstLine="210"/>
    </w:pPr>
    <w:rPr>
      <w:rFonts w:ascii="Calibri" w:hAnsi="Calibri" w:eastAsia="宋体" w:cs="Calibri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287</Words>
  <Characters>345</Characters>
  <Lines>0</Lines>
  <Paragraphs>0</Paragraphs>
  <TotalTime>28</TotalTime>
  <ScaleCrop>false</ScaleCrop>
  <LinksUpToDate>false</LinksUpToDate>
  <CharactersWithSpaces>357</CharactersWithSpaces>
  <Application>WPS Office_12.8.2.19313_F1E327BC-269C-435d-A152-05C5408002CA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2024-11-20T15:14:00Z</dcterms:created>
  <dc:creator>Administrator</dc:creator>
  <cp:lastModifiedBy>siyuanzhang</cp:lastModifiedBy>
  <dcterms:modified xsi:type="dcterms:W3CDTF">2025-06-12T13:58:01Z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2052-12.8.2.19313</vt:lpwstr>
  </property>
  <property fmtid="{D5CDD505-2E9C-101B-9397-08002B2CF9AE}" pid="3" name="ICV">
    <vt:lpwstr>A1A9D7595BFF43F59C7897482B7E7807</vt:lpwstr>
  </property>
  <property fmtid="{D5CDD505-2E9C-101B-9397-08002B2CF9AE}" pid="4" name="KSOTemplateDocerSaveRecord">
    <vt:lpwstr>eyJoZGlkIjoiYWZkODgyMjgxMzlkZjVhYmVhZmY5YjQ1OGQ4Y2ZhMDIiLCJ1c2VySWQiOiI0MzE1NzI1NjIifQ==</vt:lpwstr>
  </property>
</Properties>
</file>