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7C82AA7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4EDEEB1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上海证券交易所机构投资者服务海南自贸港行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（海口站）培训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 w:val="0"/>
          <w:bCs w:val="0"/>
          <w:sz w:val="24"/>
          <w:lang w:val="en-US" w:eastAsia="zh-CN"/>
        </w:rPr>
        <w:t>海口威斯汀酒店二楼宴会厅（海口市龙华区渡海路100号)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5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A61BF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2026年</w:t>
            </w:r>
          </w:p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D78A94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高质量发展的中国资本市场</w:t>
            </w:r>
          </w:p>
          <w:p w14:paraId="1085204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2026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年大类资产配置总结与展望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04E1E06">
            <w:pPr>
              <w:pStyle w:val="5"/>
              <w:widowControl/>
              <w:spacing w:beforeAutospacing="0" w:afterAutospacing="0" w:line="400" w:lineRule="exact"/>
              <w:ind w:left="1928" w:leftChars="0" w:hanging="1928" w:hangingChars="800"/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专题宣讲：</w:t>
            </w:r>
          </w:p>
          <w:p w14:paraId="2B86F566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ETF投资一站式解决方案</w:t>
            </w:r>
          </w:p>
          <w:p w14:paraId="64EC93C8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指数化投资前沿与实务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上交所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36F4BEBF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不动产投资的破局和思考</w:t>
            </w:r>
          </w:p>
          <w:p w14:paraId="3A03594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bookmarkStart w:id="0" w:name="OLE_LINK62"/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如何投资基础设施REITs</w:t>
            </w:r>
            <w:bookmarkEnd w:id="0"/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596A274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资产配置和风险管理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新工具</w:t>
            </w:r>
          </w:p>
          <w:p w14:paraId="6BB6A272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结构化产品在财富管理中的应用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</w:tbl>
    <w:p w14:paraId="693030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5A63B1B"/>
    <w:rsid w:val="0C92450A"/>
    <w:rsid w:val="0F032540"/>
    <w:rsid w:val="10CC3E59"/>
    <w:rsid w:val="12592623"/>
    <w:rsid w:val="1269506E"/>
    <w:rsid w:val="156D4C43"/>
    <w:rsid w:val="172F04B2"/>
    <w:rsid w:val="18ED58F0"/>
    <w:rsid w:val="1C0A3439"/>
    <w:rsid w:val="1D1B6499"/>
    <w:rsid w:val="1E4E3AB1"/>
    <w:rsid w:val="2099326B"/>
    <w:rsid w:val="25AB02BB"/>
    <w:rsid w:val="26371684"/>
    <w:rsid w:val="26E33204"/>
    <w:rsid w:val="29F76E63"/>
    <w:rsid w:val="2AF874C7"/>
    <w:rsid w:val="2BCE696B"/>
    <w:rsid w:val="2C610E53"/>
    <w:rsid w:val="30450B65"/>
    <w:rsid w:val="30976D05"/>
    <w:rsid w:val="31DA3AEF"/>
    <w:rsid w:val="365E5DA3"/>
    <w:rsid w:val="39693F38"/>
    <w:rsid w:val="3A817D67"/>
    <w:rsid w:val="3AFC19D9"/>
    <w:rsid w:val="3B194FEF"/>
    <w:rsid w:val="3B2A2088"/>
    <w:rsid w:val="3B765A19"/>
    <w:rsid w:val="3D3E45FC"/>
    <w:rsid w:val="3D9B1D3F"/>
    <w:rsid w:val="3E5C76CC"/>
    <w:rsid w:val="3FDA502C"/>
    <w:rsid w:val="4091073C"/>
    <w:rsid w:val="41BD1DF6"/>
    <w:rsid w:val="4296571A"/>
    <w:rsid w:val="43413E16"/>
    <w:rsid w:val="438B551F"/>
    <w:rsid w:val="44677DB8"/>
    <w:rsid w:val="455253C2"/>
    <w:rsid w:val="51283F24"/>
    <w:rsid w:val="51D132FD"/>
    <w:rsid w:val="53F229C4"/>
    <w:rsid w:val="540376BC"/>
    <w:rsid w:val="541423B7"/>
    <w:rsid w:val="55FE1393"/>
    <w:rsid w:val="56260A77"/>
    <w:rsid w:val="57413E55"/>
    <w:rsid w:val="58996038"/>
    <w:rsid w:val="5D2378DB"/>
    <w:rsid w:val="5E577370"/>
    <w:rsid w:val="5F6F1F5E"/>
    <w:rsid w:val="67A625A0"/>
    <w:rsid w:val="6A3A2708"/>
    <w:rsid w:val="6EDF6CBC"/>
    <w:rsid w:val="6F0E458B"/>
    <w:rsid w:val="7047792D"/>
    <w:rsid w:val="74AF2912"/>
    <w:rsid w:val="74CA78B6"/>
    <w:rsid w:val="791D122B"/>
    <w:rsid w:val="79E9735F"/>
    <w:rsid w:val="7C7A1710"/>
    <w:rsid w:val="7E5F4018"/>
    <w:rsid w:val="7EA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345</Characters>
  <Lines>0</Lines>
  <Paragraphs>0</Paragraphs>
  <TotalTime>1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2025-12-24T05:35:43Z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