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F0BF"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44"/>
          <w:sz w:val="30"/>
          <w:szCs w:val="30"/>
        </w:rPr>
        <w:t>附件1：</w:t>
      </w:r>
    </w:p>
    <w:p w14:paraId="7C82AA72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践行三投资理念，促进高质量发展</w:t>
      </w:r>
    </w:p>
    <w:p w14:paraId="4C0062F2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上海证券交易所机构投资者服务长三角行（宁波站）</w:t>
      </w:r>
    </w:p>
    <w:p w14:paraId="498F2AA4">
      <w:pPr>
        <w:jc w:val="center"/>
        <w:rPr>
          <w:rFonts w:ascii="Times New Roman" w:hAnsi="Times New Roman" w:eastAsia="黑体"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培训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课程表</w:t>
      </w:r>
    </w:p>
    <w:p w14:paraId="71E692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45F70111">
      <w:pPr>
        <w:jc w:val="left"/>
        <w:rPr>
          <w:rFonts w:hint="eastAsia" w:ascii="Times New Roman" w:hAnsi="Times New Roman" w:eastAsia="楷体" w:cs="宋体"/>
          <w:b/>
          <w:bCs/>
          <w:sz w:val="22"/>
          <w:szCs w:val="21"/>
        </w:rPr>
      </w:pPr>
      <w:r>
        <w:rPr>
          <w:rFonts w:hint="eastAsia" w:ascii="Times New Roman" w:hAnsi="Times New Roman" w:eastAsia="楷体" w:cs="宋体"/>
          <w:b/>
          <w:bCs/>
          <w:sz w:val="24"/>
        </w:rPr>
        <w:t>培训地点：</w:t>
      </w:r>
      <w:r>
        <w:rPr>
          <w:rFonts w:hint="eastAsia" w:ascii="Times New Roman" w:hAnsi="Times New Roman" w:eastAsia="楷体" w:cs="宋体"/>
          <w:b w:val="0"/>
          <w:bCs w:val="0"/>
          <w:sz w:val="24"/>
          <w:lang w:val="en-US" w:eastAsia="zh-CN"/>
        </w:rPr>
        <w:t>宁波中都开元名都大酒店三楼开元厅(海曙区甬水桥路99弄6号)</w:t>
      </w:r>
    </w:p>
    <w:tbl>
      <w:tblPr>
        <w:tblStyle w:val="6"/>
        <w:tblpPr w:leftFromText="180" w:rightFromText="180" w:vertAnchor="text" w:horzAnchor="page" w:tblpX="1450" w:tblpY="109"/>
        <w:tblOverlap w:val="never"/>
        <w:tblW w:w="5488" w:type="pct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510"/>
        <w:gridCol w:w="4725"/>
        <w:gridCol w:w="1722"/>
      </w:tblGrid>
      <w:tr w14:paraId="09D26732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53" w:type="pct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243F9529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7BB80466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具体环节课程安排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39177AF3">
            <w:pPr>
              <w:jc w:val="center"/>
              <w:rPr>
                <w:rFonts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授课师资</w:t>
            </w:r>
          </w:p>
        </w:tc>
      </w:tr>
      <w:tr w14:paraId="4850868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6" w:type="pct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F44C2A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</w:t>
            </w:r>
          </w:p>
          <w:p w14:paraId="791BA090">
            <w:pPr>
              <w:pStyle w:val="2"/>
              <w:ind w:left="0" w:leftChars="0"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96C0FE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9:30-</w:t>
            </w:r>
            <w:r>
              <w:rPr>
                <w:rFonts w:hint="eastAsia" w:ascii="Times New Roman" w:hAnsi="Times New Roman" w:eastAsia="仿宋"/>
                <w:sz w:val="24"/>
              </w:rPr>
              <w:t>9:45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7041568">
            <w:pPr>
              <w:pStyle w:val="9"/>
              <w:spacing w:before="0" w:beforeAutospacing="0"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开班、致辞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29ADC3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各主办单位</w:t>
            </w:r>
          </w:p>
        </w:tc>
      </w:tr>
      <w:tr w14:paraId="3F60E00F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15951C3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25873B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9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C29EB07">
            <w:pPr>
              <w:pStyle w:val="5"/>
              <w:widowControl/>
              <w:spacing w:beforeAutospacing="0" w:afterAutospacing="0" w:line="400" w:lineRule="exact"/>
              <w:ind w:left="1928" w:hanging="1928" w:hangingChars="800"/>
              <w:jc w:val="both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0D78A94E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高质量发展的中国资本市场</w:t>
            </w:r>
          </w:p>
          <w:p w14:paraId="10852040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2025年大类资产配置总结与展望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D6FFF6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75C971C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10E14B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3C3BEAC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1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04E1E06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专题宣讲：</w:t>
            </w:r>
          </w:p>
          <w:p w14:paraId="75191834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固定收益投资破局和思考</w:t>
            </w:r>
          </w:p>
          <w:p w14:paraId="07669590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上交所债券交易和REITs发展概况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35252C5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上交所</w:t>
            </w:r>
          </w:p>
        </w:tc>
      </w:tr>
      <w:tr w14:paraId="768A7D94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2244296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75AED97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13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3</w:t>
            </w:r>
            <w:r>
              <w:rPr>
                <w:rFonts w:ascii="Times New Roman" w:hAnsi="Times New Roman" w:eastAsia="仿宋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307EF69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2DF5DD50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“ETF投资一站式解决方案</w:t>
            </w:r>
          </w:p>
          <w:p w14:paraId="1AE9B3B1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指数化投资前沿与实务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DE9B3B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1C5EC308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3B888C2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5FEC19A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15: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6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</w:t>
            </w:r>
            <w:bookmarkStart w:id="0" w:name="_GoBack"/>
            <w:bookmarkEnd w:id="0"/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D5CD111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6C37928E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期现联动助力资本市场高质量发展 </w:t>
            </w:r>
          </w:p>
          <w:p w14:paraId="747E8462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衍生品在资产管理中的运用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F551DB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中金所</w:t>
            </w:r>
          </w:p>
        </w:tc>
      </w:tr>
    </w:tbl>
    <w:p w14:paraId="693030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23CDCFE2">
      <w:pPr>
        <w:rPr>
          <w:rFonts w:hint="eastAsia" w:eastAsia="楷体"/>
          <w:lang w:eastAsia="zh-CN"/>
        </w:rPr>
      </w:pPr>
      <w:r>
        <w:rPr>
          <w:rFonts w:hint="eastAsia" w:ascii="Times New Roman" w:hAnsi="Times New Roman" w:eastAsia="楷体" w:cs="宋体"/>
          <w:sz w:val="24"/>
        </w:rPr>
        <w:t>（具体课程安排</w:t>
      </w:r>
      <w:r>
        <w:rPr>
          <w:rFonts w:hint="eastAsia" w:ascii="Times New Roman" w:hAnsi="Times New Roman" w:eastAsia="楷体" w:cs="宋体"/>
          <w:sz w:val="24"/>
          <w:lang w:eastAsia="zh-CN"/>
        </w:rPr>
        <w:t>可能</w:t>
      </w:r>
      <w:r>
        <w:rPr>
          <w:rFonts w:hint="eastAsia" w:ascii="Times New Roman" w:hAnsi="Times New Roman" w:eastAsia="楷体" w:cs="宋体"/>
          <w:sz w:val="24"/>
        </w:rPr>
        <w:t>根据实际情况进行调整</w:t>
      </w:r>
      <w:r>
        <w:rPr>
          <w:rFonts w:hint="eastAsia" w:ascii="Times New Roman" w:hAnsi="Times New Roman" w:eastAsia="楷体" w:cs="宋体"/>
          <w:sz w:val="24"/>
          <w:lang w:eastAsia="zh-CN"/>
        </w:rPr>
        <w:t>，以培训当天安排为准）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376BC"/>
    <w:rsid w:val="01537435"/>
    <w:rsid w:val="02731368"/>
    <w:rsid w:val="05A63B1B"/>
    <w:rsid w:val="0C92450A"/>
    <w:rsid w:val="0F032540"/>
    <w:rsid w:val="10CC3E59"/>
    <w:rsid w:val="12592623"/>
    <w:rsid w:val="156D4C43"/>
    <w:rsid w:val="172F04B2"/>
    <w:rsid w:val="18ED58F0"/>
    <w:rsid w:val="1C0A3439"/>
    <w:rsid w:val="1D1B6499"/>
    <w:rsid w:val="1E4E3AB1"/>
    <w:rsid w:val="25AB02BB"/>
    <w:rsid w:val="26371684"/>
    <w:rsid w:val="26E33204"/>
    <w:rsid w:val="29F76E63"/>
    <w:rsid w:val="2AF874C7"/>
    <w:rsid w:val="2BCE696B"/>
    <w:rsid w:val="2C610E53"/>
    <w:rsid w:val="30450B65"/>
    <w:rsid w:val="30976D05"/>
    <w:rsid w:val="31DA3AEF"/>
    <w:rsid w:val="365E5DA3"/>
    <w:rsid w:val="39693F38"/>
    <w:rsid w:val="3A817D67"/>
    <w:rsid w:val="3AFC19D9"/>
    <w:rsid w:val="3B194FEF"/>
    <w:rsid w:val="3B2A2088"/>
    <w:rsid w:val="3B765A19"/>
    <w:rsid w:val="3D3E45FC"/>
    <w:rsid w:val="3D9B1D3F"/>
    <w:rsid w:val="3E5C76CC"/>
    <w:rsid w:val="3FDA502C"/>
    <w:rsid w:val="4091073C"/>
    <w:rsid w:val="41BD1DF6"/>
    <w:rsid w:val="438B551F"/>
    <w:rsid w:val="44677DB8"/>
    <w:rsid w:val="455253C2"/>
    <w:rsid w:val="51283F24"/>
    <w:rsid w:val="51D132FD"/>
    <w:rsid w:val="53F229C4"/>
    <w:rsid w:val="540376BC"/>
    <w:rsid w:val="541423B7"/>
    <w:rsid w:val="56260A77"/>
    <w:rsid w:val="57413E55"/>
    <w:rsid w:val="5D2378DB"/>
    <w:rsid w:val="5E577370"/>
    <w:rsid w:val="5F6F1F5E"/>
    <w:rsid w:val="6A3A2708"/>
    <w:rsid w:val="6EDF6CBC"/>
    <w:rsid w:val="6F0E458B"/>
    <w:rsid w:val="7047792D"/>
    <w:rsid w:val="74AF2912"/>
    <w:rsid w:val="74CA78B6"/>
    <w:rsid w:val="79E9735F"/>
    <w:rsid w:val="7C7A1710"/>
    <w:rsid w:val="7E5F4018"/>
    <w:rsid w:val="7EA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rPr>
      <w:rFonts w:hint="eastAsia" w:eastAsia="仿宋_GB2312"/>
      <w:sz w:val="28"/>
      <w:szCs w:val="31"/>
    </w:rPr>
  </w:style>
  <w:style w:type="paragraph" w:styleId="4">
    <w:name w:val="Subtitle"/>
    <w:basedOn w:val="1"/>
    <w:qFormat/>
    <w:uiPriority w:val="11"/>
    <w:pPr>
      <w:widowControl/>
      <w:jc w:val="center"/>
    </w:pPr>
    <w:rPr>
      <w:rFonts w:ascii="Tahoma" w:hAnsi="Tahoma"/>
      <w:kern w:val="0"/>
      <w:sz w:val="28"/>
      <w:szCs w:val="20"/>
      <w:lang w:eastAsia="en-US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网格表 4 - 着色 11"/>
    <w:basedOn w:val="6"/>
    <w:qFormat/>
    <w:uiPriority w:val="49"/>
    <w:rPr>
      <w:rFonts w:ascii="Times New Roman" w:hAnsi="Times New Roman" w:eastAsia="宋体" w:cs="Times New Roman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9">
    <w:name w:val="正文首行缩进 21"/>
    <w:basedOn w:val="1"/>
    <w:autoRedefine/>
    <w:qFormat/>
    <w:uiPriority w:val="0"/>
    <w:pPr>
      <w:spacing w:before="100" w:beforeAutospacing="1" w:after="120"/>
      <w:ind w:left="420" w:leftChars="200" w:firstLine="21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359</Characters>
  <Lines>0</Lines>
  <Paragraphs>0</Paragraphs>
  <TotalTime>0</TotalTime>
  <ScaleCrop>false</ScaleCrop>
  <LinksUpToDate>false</LinksUpToDate>
  <CharactersWithSpaces>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2024-11-20T07:14:00Z</dcterms:created>
  <dc:creator>Administrator</dc:creator>
  <cp:lastModifiedBy>倪琦竣</cp:lastModifiedBy>
  <dcterms:modified xsi:type="dcterms:W3CDTF">2025-11-25T02:57:59Z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A1A9D7595BFF43F59C7897482B7E7807</vt:lpwstr>
  </property>
  <property fmtid="{D5CDD505-2E9C-101B-9397-08002B2CF9AE}" pid="4" name="KSOTemplateDocerSaveRecord">
    <vt:lpwstr>eyJoZGlkIjoiYWZkODgyMjgxMzlkZjVhYmVhZmY5YjQ1OGQ4Y2ZhMDIiLCJ1c2VySWQiOiI0MzE1NzI1NjIifQ==</vt:lpwstr>
  </property>
</Properties>
</file>