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440" w:lineRule="exact"/>
        <w:rPr>
          <w:rFonts w:hint="eastAsia" w:ascii="黑体" w:hAnsi="黑体" w:eastAsia="黑体"/>
          <w:sz w:val="36"/>
          <w:szCs w:val="36"/>
          <w:lang w:eastAsia="zh-CN"/>
        </w:rPr>
      </w:pPr>
      <w:r>
        <w:rPr>
          <w:rFonts w:hint="eastAsia" w:ascii="黑体" w:hAnsi="黑体" w:eastAsia="黑体"/>
          <w:sz w:val="36"/>
          <w:szCs w:val="36"/>
        </w:rPr>
        <w:t>附件2</w:t>
      </w:r>
      <w:r>
        <w:rPr>
          <w:rFonts w:hint="eastAsia" w:ascii="黑体" w:hAnsi="黑体" w:eastAsia="黑体"/>
          <w:sz w:val="36"/>
          <w:szCs w:val="36"/>
          <w:lang w:eastAsia="zh-CN"/>
        </w:rPr>
        <w:t>：</w:t>
      </w:r>
    </w:p>
    <w:p>
      <w:pPr>
        <w:widowControl/>
        <w:snapToGrid w:val="0"/>
        <w:spacing w:line="440" w:lineRule="exact"/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学员在线培训操作指南</w:t>
      </w:r>
    </w:p>
    <w:p>
      <w:pPr>
        <w:widowControl/>
        <w:snapToGrid w:val="0"/>
        <w:spacing w:line="440" w:lineRule="exact"/>
        <w:jc w:val="center"/>
        <w:rPr>
          <w:rFonts w:ascii="黑体" w:hAnsi="黑体" w:eastAsia="黑体"/>
          <w:sz w:val="36"/>
          <w:szCs w:val="36"/>
        </w:rPr>
      </w:pPr>
    </w:p>
    <w:p>
      <w:pPr>
        <w:widowControl/>
        <w:snapToGrid w:val="0"/>
        <w:spacing w:line="360" w:lineRule="auto"/>
        <w:ind w:firstLine="600" w:firstLineChars="200"/>
        <w:jc w:val="left"/>
        <w:rPr>
          <w:rFonts w:ascii="黑体" w:hAnsi="黑体" w:eastAsia="仿宋_GB2312"/>
          <w:sz w:val="36"/>
          <w:szCs w:val="36"/>
        </w:rPr>
      </w:pP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特别提示：建议使用Chrome、360、火狐等浏览器，不支持苹果Safari浏览器。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为保障视频观看体验并正确记录学习数据，培训期间请全程使用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  <w:shd w:val="clear" w:color="auto" w:fill="FFFFFF"/>
        </w:rPr>
        <w:t>电脑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完成全部课程在线学习。</w:t>
      </w:r>
    </w:p>
    <w:p>
      <w:pPr>
        <w:wordWrap w:val="0"/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1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.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打开上交所浦江大讲堂网站（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https://pujiang.sse.com.cn/course/explore/normal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）；</w:t>
      </w:r>
    </w:p>
    <w:p>
      <w:pPr>
        <w:ind w:firstLine="600" w:firstLineChars="200"/>
        <w:jc w:val="left"/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955040</wp:posOffset>
                </wp:positionV>
                <wp:extent cx="352425" cy="220980"/>
                <wp:effectExtent l="9525" t="9525" r="19050" b="1714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77815" y="3520440"/>
                          <a:ext cx="352425" cy="2209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4.2pt;margin-top:75.2pt;height:17.4pt;width:27.75pt;z-index:251659264;v-text-anchor:middle;mso-width-relative:page;mso-height-relative:page;" filled="f" stroked="t" coordsize="21600,21600" o:gfxdata="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v4UiOdkAAAALAQAADwAAAAAAAAABACAAAAAiAAAAZHJz&#10;L2Rvd25yZXYueG1sUEsBAhQAFAAAAAgAh07iQP1fsN51AgAA1gQAAA4AAAAAAAAAAQAgAAAAKAEA&#10;AGRycy9lMm9Eb2MueG1sUEsFBgAAAAAGAAYAWQEAAA8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2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.</w:t>
      </w:r>
      <w:bookmarkStart w:id="0" w:name="_GoBack"/>
      <w:bookmarkEnd w:id="0"/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</w:t>
      </w:r>
      <w:r>
        <w:rPr>
          <w:rFonts w:hint="eastAsia" w:ascii="仿宋_GB2312" w:hAnsi="仿宋" w:eastAsia="仿宋_GB2312" w:cs="Times New Roman"/>
          <w:sz w:val="30"/>
          <w:szCs w:val="30"/>
          <w:lang w:val="en-US" w:eastAsia="zh-CN"/>
        </w:rPr>
        <w:t>录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”按钮。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请务必使用报名时填写的手机号码进行登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  <w:lang w:val="en-US"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</w:t>
      </w:r>
      <w:r>
        <w:rPr>
          <w:rFonts w:hint="eastAsia" w:ascii="仿宋_GB2312" w:hAnsi="仿宋" w:eastAsia="仿宋_GB2312" w:cs="Times New Roman"/>
          <w:sz w:val="30"/>
          <w:szCs w:val="30"/>
          <w:lang w:val="en-US"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。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drawing>
          <wp:inline distT="0" distB="0" distL="0" distR="0">
            <wp:extent cx="5109845" cy="3055620"/>
            <wp:effectExtent l="0" t="0" r="14605" b="11430"/>
            <wp:docPr id="2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br w:type="page"/>
      </w:r>
    </w:p>
    <w:p>
      <w:pPr>
        <w:numPr>
          <w:ilvl w:val="0"/>
          <w:numId w:val="0"/>
        </w:numPr>
        <w:ind w:firstLine="600" w:firstLineChars="200"/>
        <w:jc w:val="left"/>
        <w:rPr>
          <w:rFonts w:ascii="仿宋_GB2312" w:hAnsi="微软雅黑" w:eastAsia="仿宋_GB2312"/>
          <w:color w:val="212529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3.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“专题班”栏目标签，</w:t>
      </w:r>
      <w:r>
        <w:rPr>
          <w:rFonts w:hint="eastAsia" w:ascii="仿宋_GB2312" w:hAnsi="仿宋_GB2312" w:eastAsia="仿宋_GB2312" w:cs="仿宋_GB2312"/>
          <w:sz w:val="30"/>
          <w:szCs w:val="30"/>
        </w:rPr>
        <w:t>选</w:t>
      </w:r>
      <w:r>
        <w:rPr>
          <w:rFonts w:hint="eastAsia" w:ascii="仿宋_GB2312" w:hAnsi="微软雅黑" w:eastAsia="仿宋_GB2312" w:cs="宋体"/>
          <w:color w:val="212529"/>
          <w:kern w:val="0"/>
          <w:sz w:val="30"/>
          <w:szCs w:val="30"/>
        </w:rPr>
        <w:t>择“</w:t>
      </w:r>
      <w:r>
        <w:rPr>
          <w:rFonts w:hint="eastAsia" w:ascii="仿宋_GB2312" w:hAnsi="微软雅黑" w:eastAsia="仿宋_GB2312"/>
          <w:sz w:val="30"/>
          <w:szCs w:val="30"/>
        </w:rPr>
        <w:t>202</w:t>
      </w: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>4</w:t>
      </w:r>
      <w:r>
        <w:rPr>
          <w:rFonts w:hint="eastAsia" w:ascii="仿宋_GB2312" w:hAnsi="微软雅黑" w:eastAsia="仿宋_GB2312"/>
          <w:sz w:val="30"/>
          <w:szCs w:val="30"/>
        </w:rPr>
        <w:t>年第</w:t>
      </w: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>2</w:t>
      </w:r>
      <w:r>
        <w:rPr>
          <w:rFonts w:hint="eastAsia" w:ascii="仿宋_GB2312" w:hAnsi="微软雅黑" w:eastAsia="仿宋_GB2312"/>
          <w:sz w:val="30"/>
          <w:szCs w:val="30"/>
        </w:rPr>
        <w:t>期上市公司独立董事后续培训</w:t>
      </w:r>
      <w:r>
        <w:rPr>
          <w:rFonts w:hint="eastAsia" w:ascii="仿宋_GB2312" w:hAnsi="微软雅黑" w:eastAsia="仿宋_GB2312" w:cs="宋体"/>
          <w:color w:val="212529"/>
          <w:kern w:val="0"/>
          <w:sz w:val="30"/>
          <w:szCs w:val="30"/>
        </w:rPr>
        <w:t>”进行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学习。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培训页面于培训当天上线。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600" w:firstLineChars="200"/>
        <w:jc w:val="left"/>
        <w:textAlignment w:val="auto"/>
        <w:rPr>
          <w:rFonts w:ascii="仿宋_GB2312" w:hAnsi="仿宋_GB2312" w:eastAsia="仿宋_GB2312" w:cs="仿宋_GB2312"/>
          <w:color w:val="4D4D4D"/>
          <w:sz w:val="30"/>
          <w:szCs w:val="30"/>
        </w:rPr>
      </w:pPr>
      <w:r>
        <w:rPr>
          <w:rFonts w:hint="eastAsia" w:ascii="仿宋_GB2312" w:hAnsi="仿宋" w:eastAsia="仿宋_GB2312" w:cs="Times New Roman"/>
          <w:sz w:val="30"/>
          <w:szCs w:val="30"/>
          <w:lang w:val="en-US" w:eastAsia="zh-CN"/>
        </w:rPr>
        <w:t>4.</w:t>
      </w:r>
      <w:r>
        <w:rPr>
          <w:rFonts w:hint="eastAsia" w:ascii="仿宋_GB2312" w:hAnsi="仿宋" w:eastAsia="仿宋_GB2312" w:cs="Times New Roman"/>
          <w:sz w:val="30"/>
          <w:szCs w:val="30"/>
        </w:rPr>
        <w:t>点击“开始学习”或从目录中选择课程进行学习。此次培训要求完成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t>全部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课程</w:t>
      </w:r>
      <w:r>
        <w:rPr>
          <w:rFonts w:hint="eastAsia" w:ascii="仿宋_GB2312" w:hAnsi="仿宋_GB2312" w:eastAsia="仿宋_GB2312" w:cs="仿宋_GB2312"/>
          <w:sz w:val="30"/>
          <w:szCs w:val="30"/>
        </w:rPr>
        <w:t>（后台将统计学习时长）</w:t>
      </w:r>
      <w:r>
        <w:rPr>
          <w:rFonts w:hint="eastAsia" w:ascii="仿宋_GB2312" w:eastAsia="仿宋_GB2312"/>
          <w:b/>
          <w:bCs/>
          <w:color w:val="FF0000"/>
          <w:sz w:val="30"/>
          <w:szCs w:val="30"/>
        </w:rPr>
        <w:t>学习</w:t>
      </w:r>
      <w:r>
        <w:rPr>
          <w:rFonts w:hint="eastAsia" w:ascii="仿宋_GB2312" w:hAnsi="仿宋_GB2312" w:eastAsia="仿宋_GB2312" w:cs="仿宋_GB2312"/>
          <w:color w:val="4D4D4D"/>
          <w:sz w:val="30"/>
          <w:szCs w:val="30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00" w:firstLineChars="200"/>
        <w:jc w:val="left"/>
        <w:textAlignment w:val="auto"/>
        <w:rPr>
          <w:rFonts w:ascii="仿宋_GB2312" w:hAnsi="仿宋_GB2312" w:eastAsia="仿宋_GB2312" w:cs="仿宋_GB2312"/>
          <w:color w:val="4D4D4D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5.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学员第一次观看课程时仅可使用1倍速，全程看完（浦江大讲堂片尾完全播放结束）方可在后台系统登记课程进度时被记录为课程完成。其他倍速的设置仅用于学员回放和复习。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00" w:firstLineChars="200"/>
        <w:textAlignment w:val="auto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6.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网站技术问题请拨打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技术支持电话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: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4008888400并按语音提示依次按键“3”和“8”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 xml:space="preserve"> 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BD47AA"/>
    <w:rsid w:val="1C290840"/>
    <w:rsid w:val="1CF83A48"/>
    <w:rsid w:val="375B0AC3"/>
    <w:rsid w:val="531550F5"/>
    <w:rsid w:val="5FB63195"/>
    <w:rsid w:val="60FE0D65"/>
    <w:rsid w:val="74BD47AA"/>
    <w:rsid w:val="7C7F6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369</Words>
  <Characters>446</Characters>
  <Lines>0</Lines>
  <Paragraphs>0</Paragraphs>
  <TotalTime>1</TotalTime>
  <ScaleCrop>false</ScaleCrop>
  <LinksUpToDate>false</LinksUpToDate>
  <CharactersWithSpaces>447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2023-11-15T08:43:00Z</dcterms:created>
  <dc:creator>tytang</dc:creator>
  <cp:lastModifiedBy>Administrator</cp:lastModifiedBy>
  <dcterms:modified xsi:type="dcterms:W3CDTF">2024-04-02T07:43:10Z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AD0BF9D2C9E4444E934F89CBE708014A</vt:lpwstr>
  </property>
</Properties>
</file>