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hint="eastAsia"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上海证券交易所202</w:t>
      </w:r>
      <w:r>
        <w:rPr>
          <w:rFonts w:hint="eastAsia" w:ascii="黑体" w:hAnsi="黑体" w:eastAsia="黑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b/>
          <w:bCs/>
          <w:kern w:val="0"/>
          <w:sz w:val="32"/>
          <w:szCs w:val="32"/>
          <w:lang w:eastAsia="zh-CN"/>
        </w:rPr>
        <w:t>第</w:t>
      </w:r>
      <w:r>
        <w:rPr>
          <w:rFonts w:hint="eastAsia" w:ascii="黑体" w:hAnsi="黑体" w:eastAsia="黑体"/>
          <w:b/>
          <w:bCs/>
          <w:kern w:val="0"/>
          <w:sz w:val="32"/>
          <w:szCs w:val="32"/>
          <w:lang w:val="en-US" w:eastAsia="zh-CN"/>
        </w:rPr>
        <w:t>5期</w:t>
      </w: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上市公司董事会秘书</w:t>
      </w:r>
    </w:p>
    <w:p>
      <w:pPr>
        <w:widowControl/>
        <w:snapToGrid w:val="0"/>
        <w:spacing w:line="360" w:lineRule="auto"/>
        <w:jc w:val="center"/>
        <w:rPr>
          <w:rFonts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后续培训（</w:t>
      </w:r>
      <w:r>
        <w:rPr>
          <w:rFonts w:hint="eastAsia" w:ascii="黑体" w:hAnsi="黑体" w:eastAsia="黑体"/>
          <w:b/>
          <w:bCs/>
          <w:kern w:val="0"/>
          <w:sz w:val="32"/>
          <w:szCs w:val="32"/>
          <w:lang w:eastAsia="zh-CN"/>
        </w:rPr>
        <w:t>能源、电力及电力设备</w:t>
      </w: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专场）课程安排</w:t>
      </w:r>
    </w:p>
    <w:p>
      <w:pPr>
        <w:adjustRightInd w:val="0"/>
        <w:snapToGrid w:val="0"/>
        <w:spacing w:line="360" w:lineRule="auto"/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年9月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日-2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360" w:lineRule="auto"/>
        <w:rPr>
          <w:rFonts w:hint="default" w:ascii="仿宋_GB2312" w:hAnsi="Times New Roman" w:eastAsia="仿宋_GB2312" w:cs="Times New Roman"/>
          <w:b/>
          <w:color w:val="000000" w:themeColor="text1"/>
          <w:w w:val="95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w w:val="95"/>
          <w:sz w:val="24"/>
          <w:szCs w:val="28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_GB2312" w:hAnsi="Times New Roman" w:eastAsia="仿宋_GB2312" w:cs="Times New Roman"/>
          <w:b/>
          <w:color w:val="000000" w:themeColor="text1"/>
          <w:w w:val="95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成都凯宾斯基饭店（四川省成都市武侯区人民南路四段42号）三楼锦绣厅</w:t>
      </w:r>
    </w:p>
    <w:tbl>
      <w:tblPr>
        <w:tblStyle w:val="5"/>
        <w:tblW w:w="9935" w:type="dxa"/>
        <w:jc w:val="center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507"/>
        <w:gridCol w:w="4678"/>
        <w:gridCol w:w="2457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00" w:type="dxa"/>
            <w:gridSpan w:val="2"/>
            <w:shd w:val="clear" w:color="auto" w:fill="4F81BD" w:themeFill="accent1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培训日程</w:t>
            </w:r>
          </w:p>
        </w:tc>
        <w:tc>
          <w:tcPr>
            <w:tcW w:w="4678" w:type="dxa"/>
            <w:shd w:val="clear" w:color="auto" w:fill="4F81BD" w:themeFill="accent1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课程安排</w:t>
            </w:r>
          </w:p>
        </w:tc>
        <w:tc>
          <w:tcPr>
            <w:tcW w:w="2457" w:type="dxa"/>
            <w:shd w:val="clear" w:color="auto" w:fill="4F81BD" w:themeFill="accent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师资来源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93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9月1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（周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:00-20:00</w:t>
            </w:r>
          </w:p>
        </w:tc>
        <w:tc>
          <w:tcPr>
            <w:tcW w:w="71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签到（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eastAsia="zh-CN"/>
              </w:rPr>
              <w:t>酒店大堂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restart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9月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（周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8642" w:type="dxa"/>
            <w:gridSpan w:val="3"/>
            <w:shd w:val="clear" w:color="auto" w:fill="B8CCE4" w:themeFill="accent1" w:themeFillTint="6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上  午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135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签到（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eastAsia="zh-CN"/>
              </w:rPr>
              <w:t>三楼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锦绣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eastAsia="zh-CN"/>
              </w:rPr>
              <w:t>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-09:1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35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开班致辞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9:1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-10: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能源、电力及电力设备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行业发展趋势及热点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券商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研究所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10: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最新信息披露监管政策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上交所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0-14:00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午餐及午休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shd w:val="clear" w:color="auto" w:fill="B8CCE4" w:themeFill="accent1" w:themeFillTint="6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下  午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14:00-15:20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并购重组及再融资政策解读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上交所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15:30-17:00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上交所债券市场概况及融资品种介绍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上交所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restart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9月2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（周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8642" w:type="dxa"/>
            <w:gridSpan w:val="3"/>
            <w:shd w:val="clear" w:color="auto" w:fill="B8CCE4" w:themeFill="accent1" w:themeFillTint="66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上  午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09:00-10: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0"/>
              </w:rPr>
              <w:t>上市公司股权激励与员工持股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上交所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10:20-11: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上市公司董秘经验分享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上市公司董秘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11: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0-14:00</w:t>
            </w:r>
          </w:p>
        </w:tc>
        <w:tc>
          <w:tcPr>
            <w:tcW w:w="4678" w:type="dxa"/>
            <w:tcBorders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午餐及午休</w:t>
            </w:r>
          </w:p>
        </w:tc>
        <w:tc>
          <w:tcPr>
            <w:tcW w:w="2457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single" w:color="auto" w:sz="2" w:space="0"/>
              <w:bottom w:val="single" w:color="auto" w:sz="2" w:space="0"/>
            </w:tcBorders>
            <w:shd w:val="clear" w:color="auto" w:fill="B8CCE4" w:themeFill="accent1" w:themeFillTint="6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下  午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93" w:type="dxa"/>
            <w:vMerge w:val="continue"/>
            <w:tcBorders>
              <w:bottom w:val="single" w:color="auto" w:sz="2" w:space="0"/>
            </w:tcBorders>
            <w:shd w:val="clear" w:color="auto" w:fill="B8CCE4" w:themeFill="accent1" w:themeFillTint="66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2" w:space="0"/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14:00-15:10</w:t>
            </w:r>
          </w:p>
        </w:tc>
        <w:tc>
          <w:tcPr>
            <w:tcW w:w="4678" w:type="dxa"/>
            <w:tcBorders>
              <w:top w:val="single" w:color="auto" w:sz="2" w:space="0"/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上市公司投资者关系管理</w:t>
            </w:r>
          </w:p>
        </w:tc>
        <w:tc>
          <w:tcPr>
            <w:tcW w:w="2457" w:type="dxa"/>
            <w:tcBorders>
              <w:top w:val="single" w:color="auto" w:sz="2" w:space="0"/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上交所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93" w:type="dxa"/>
            <w:vMerge w:val="continue"/>
            <w:tcBorders>
              <w:bottom w:val="single" w:color="auto" w:sz="2" w:space="0"/>
            </w:tcBorders>
            <w:shd w:val="clear" w:color="auto" w:fill="B8CCE4" w:themeFill="accent1" w:themeFillTint="66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15:2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-16:30</w:t>
            </w:r>
          </w:p>
        </w:tc>
        <w:tc>
          <w:tcPr>
            <w:tcW w:w="4678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上市公司纪律处分案例解析</w:t>
            </w:r>
          </w:p>
        </w:tc>
        <w:tc>
          <w:tcPr>
            <w:tcW w:w="2457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上交所</w:t>
            </w:r>
            <w:bookmarkStart w:id="0" w:name="_GoBack"/>
            <w:bookmarkEnd w:id="0"/>
          </w:p>
        </w:tc>
      </w:tr>
    </w:tbl>
    <w:p>
      <w:pPr>
        <w:spacing w:beforeLines="50"/>
        <w:jc w:val="left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注：以培训期间实际安排为准。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ODk1NTdiNTY0YmIyMjg4MzY3NmQ1NDdlYWIyOTEifQ=="/>
  </w:docVars>
  <w:rsids>
    <w:rsidRoot w:val="00FA0EF5"/>
    <w:rsid w:val="000F1581"/>
    <w:rsid w:val="00300FF6"/>
    <w:rsid w:val="00871385"/>
    <w:rsid w:val="00A144E5"/>
    <w:rsid w:val="00A15859"/>
    <w:rsid w:val="00D23506"/>
    <w:rsid w:val="00DD53E8"/>
    <w:rsid w:val="00FA0EF5"/>
    <w:rsid w:val="00FC7186"/>
    <w:rsid w:val="00FD7916"/>
    <w:rsid w:val="1D4B5C1C"/>
    <w:rsid w:val="21117A3B"/>
    <w:rsid w:val="2D370D05"/>
    <w:rsid w:val="2F446A6C"/>
    <w:rsid w:val="2F9E1112"/>
    <w:rsid w:val="37962EC4"/>
    <w:rsid w:val="37D10D38"/>
    <w:rsid w:val="37D51432"/>
    <w:rsid w:val="44A92FB5"/>
    <w:rsid w:val="4A11550E"/>
    <w:rsid w:val="50C77614"/>
    <w:rsid w:val="548046E2"/>
    <w:rsid w:val="55CB585D"/>
    <w:rsid w:val="58124C4D"/>
    <w:rsid w:val="59E3372E"/>
    <w:rsid w:val="63151E0A"/>
    <w:rsid w:val="634D442E"/>
    <w:rsid w:val="647B68E6"/>
    <w:rsid w:val="68553142"/>
    <w:rsid w:val="6C602314"/>
    <w:rsid w:val="79B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502</Characters>
  <Lines>4</Lines>
  <Paragraphs>1</Paragraphs>
  <TotalTime>0</TotalTime>
  <ScaleCrop>false</ScaleCrop>
  <LinksUpToDate>false</LinksUpToDate>
  <CharactersWithSpaces>510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2023-08-31T06:40:00Z</dcterms:created>
  <dc:creator>tek</dc:creator>
  <cp:lastModifiedBy>wzhou</cp:lastModifiedBy>
  <cp:lastPrinted>2023-08-31T06:28:00Z</cp:lastPrinted>
  <dcterms:modified xsi:type="dcterms:W3CDTF">2024-09-03T09:20:16Z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DB559B635937438E8A83B905D8BAD1C2</vt:lpwstr>
  </property>
</Properties>
</file>