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上海证券交易所202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期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上市公司董事会秘书后续培训课程安排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：线上培训</w:t>
      </w:r>
    </w:p>
    <w:tbl>
      <w:tblPr>
        <w:tblStyle w:val="3"/>
        <w:tblW w:w="10484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560"/>
        <w:gridCol w:w="1715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09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培训日程</w:t>
            </w:r>
          </w:p>
        </w:tc>
        <w:tc>
          <w:tcPr>
            <w:tcW w:w="8275" w:type="dxa"/>
            <w:gridSpan w:val="2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课程安排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restart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2024年7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  <w:t>29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9：00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至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2024年8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  <w:t>12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17：00</w:t>
            </w:r>
            <w:r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注：课程24小时开放，请自行安排时间</w:t>
            </w: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  <w:lang w:eastAsia="zh-CN"/>
              </w:rPr>
              <w:t>学习，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</w:rPr>
              <w:t>学员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须于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2024年8月12日17：00前，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所有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必修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课程和选修课其中的五门，学习进度达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100%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近期上市公司监管政策及监管要点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必修课（须完成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全部八门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课时2：定向可转债重组规则解读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课时3：增持与回购股份规则解读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课时4:  减持规则讲解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课程5：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上市公司纪律处分案例解析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课时6：退市规则讲解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课时7：ESG报告披露指引解读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课程8：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上市公司投资者关系管理与业绩说明会实务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9：主板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上市公司并购重组概要与实务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选修课（须完成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其中五门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课时10：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主板上市公司股权激励与员工持股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11：主板募集资金使用与管理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12：科创板“八条措施”政策解读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科创板并购重组、再融资实务及典型案例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科创板股权激励实务及典型案例分析</w:t>
            </w: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15：科创板公司募集资金管理监管政策解读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科创板做市商机制介绍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课程17：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上市公司董秘经验分享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课程18：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上交所债券市场概况及融资品种介绍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9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课程19：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开门办审核相关情况介绍</w:t>
            </w:r>
          </w:p>
        </w:tc>
        <w:tc>
          <w:tcPr>
            <w:tcW w:w="171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黑体" w:hAnsi="黑体" w:eastAsia="黑体"/>
          <w:sz w:val="24"/>
          <w:szCs w:val="24"/>
          <w:lang w:eastAsia="zh-CN"/>
        </w:rPr>
        <w:t>课程安排以培训实际安排为准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068FB"/>
    <w:rsid w:val="7340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wzhou</dc:creator>
  <cp:lastModifiedBy>wzhou</cp:lastModifiedBy>
  <dcterms:modified xsi:type="dcterms:W3CDTF">2024-07-18T01:04:06Z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111409D506E34C638FBAC63E18B7EF0D_11</vt:lpwstr>
  </property>
</Properties>
</file>