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附件1</w:t>
      </w:r>
    </w:p>
    <w:p>
      <w:pPr>
        <w:adjustRightInd w:val="0"/>
        <w:snapToGrid w:val="0"/>
        <w:spacing w:before="156" w:beforeLines="50"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上海证券交易所202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6"/>
          <w:szCs w:val="36"/>
        </w:rPr>
        <w:t>年第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期</w:t>
      </w:r>
    </w:p>
    <w:p>
      <w:pPr>
        <w:adjustRightInd w:val="0"/>
        <w:snapToGrid w:val="0"/>
        <w:spacing w:before="156" w:beforeLines="50" w:line="360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董事、监事和高管初任培训课程表</w:t>
      </w:r>
    </w:p>
    <w:p>
      <w:pPr>
        <w:spacing w:before="156" w:beforeLines="50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必修课要求完成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全部课程</w:t>
      </w:r>
      <w:r>
        <w:rPr>
          <w:rFonts w:hint="eastAsia" w:ascii="仿宋_GB2312" w:hAnsi="仿宋_GB2312" w:eastAsia="仿宋_GB2312" w:cs="仿宋_GB2312"/>
          <w:sz w:val="30"/>
          <w:szCs w:val="30"/>
        </w:rPr>
        <w:t>，选修课要求完成</w:t>
      </w:r>
      <w:r>
        <w:rPr>
          <w:rFonts w:ascii="仿宋_GB2312" w:hAnsi="仿宋_GB2312" w:eastAsia="仿宋_GB2312" w:cs="仿宋_GB2312"/>
          <w:color w:val="FF000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门课程</w:t>
      </w:r>
      <w:r>
        <w:rPr>
          <w:rFonts w:hint="eastAsia" w:ascii="仿宋_GB2312" w:hAnsi="仿宋_GB2312" w:eastAsia="仿宋_GB2312" w:cs="仿宋_GB2312"/>
          <w:sz w:val="30"/>
          <w:szCs w:val="30"/>
        </w:rPr>
        <w:t>学习。</w:t>
      </w:r>
    </w:p>
    <w:p>
      <w:pPr>
        <w:spacing w:before="156" w:beforeLines="50"/>
        <w:jc w:val="center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表1必修课课表</w:t>
      </w:r>
    </w:p>
    <w:tbl>
      <w:tblPr>
        <w:tblStyle w:val="3"/>
        <w:tblW w:w="5000" w:type="pct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7201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FFFFFF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FFFFFF"/>
                <w:sz w:val="28"/>
                <w:szCs w:val="28"/>
              </w:rPr>
              <w:t>序号</w:t>
            </w:r>
          </w:p>
        </w:tc>
        <w:tc>
          <w:tcPr>
            <w:tcW w:w="422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FFFFFF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FFFFFF"/>
                <w:sz w:val="28"/>
                <w:szCs w:val="28"/>
              </w:rPr>
              <w:t>必修课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7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</w:t>
            </w:r>
          </w:p>
        </w:tc>
        <w:tc>
          <w:tcPr>
            <w:tcW w:w="422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上市公司关键少数履职与持股变动管理要点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课程2</w:t>
            </w:r>
          </w:p>
        </w:tc>
        <w:tc>
          <w:tcPr>
            <w:tcW w:w="42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信息披露监管政策及</w:t>
            </w:r>
            <w:r>
              <w:rPr>
                <w:rFonts w:ascii="楷体" w:hAnsi="楷体" w:eastAsia="楷体" w:cs="宋体"/>
                <w:color w:val="000000"/>
                <w:sz w:val="24"/>
              </w:rPr>
              <w:t>形势分析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课程3</w:t>
            </w:r>
          </w:p>
        </w:tc>
        <w:tc>
          <w:tcPr>
            <w:tcW w:w="42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监管</w:t>
            </w:r>
            <w:r>
              <w:rPr>
                <w:rFonts w:ascii="楷体" w:hAnsi="楷体" w:eastAsia="楷体" w:cs="宋体"/>
                <w:color w:val="000000"/>
                <w:sz w:val="24"/>
              </w:rPr>
              <w:t>规则速递及</w:t>
            </w:r>
            <w:r>
              <w:rPr>
                <w:rFonts w:hint="eastAsia" w:ascii="楷体" w:hAnsi="楷体" w:eastAsia="楷体" w:cs="宋体"/>
                <w:color w:val="000000"/>
                <w:sz w:val="24"/>
              </w:rPr>
              <w:t>近期</w:t>
            </w:r>
            <w:r>
              <w:rPr>
                <w:rFonts w:ascii="楷体" w:hAnsi="楷体" w:eastAsia="楷体" w:cs="宋体"/>
                <w:color w:val="000000"/>
                <w:sz w:val="24"/>
              </w:rPr>
              <w:t>案例分析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课程4</w:t>
            </w:r>
          </w:p>
        </w:tc>
        <w:tc>
          <w:tcPr>
            <w:tcW w:w="42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董监高纪律处分典型案例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课程5</w:t>
            </w:r>
          </w:p>
        </w:tc>
        <w:tc>
          <w:tcPr>
            <w:tcW w:w="42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董监高行政违法典型案例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sz w:val="24"/>
              </w:rPr>
              <w:t>公司治理和董监高履职</w:t>
            </w:r>
          </w:p>
        </w:tc>
      </w:tr>
    </w:tbl>
    <w:p>
      <w:pPr>
        <w:spacing w:before="156" w:beforeLines="50"/>
        <w:jc w:val="center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表2 选修课课表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341"/>
        <w:gridCol w:w="5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46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课程类型</w:t>
            </w: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000000" w:fill="4F81BD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FFFFFF"/>
                <w:kern w:val="0"/>
                <w:sz w:val="28"/>
                <w:szCs w:val="28"/>
                <w:lang w:bidi="ar"/>
              </w:rPr>
              <w:t>选修课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</w:t>
            </w:r>
          </w:p>
        </w:tc>
        <w:tc>
          <w:tcPr>
            <w:tcW w:w="746" w:type="pct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政策法规及工具解读</w:t>
            </w:r>
          </w:p>
        </w:tc>
        <w:tc>
          <w:tcPr>
            <w:tcW w:w="3248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科创板制度创新与实务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课程2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并购重组、再融资及分拆上市规则介绍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课程3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股权激励与员工持股规则介绍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课程4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上交所债券市场概况及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上市公司融资支持机制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课程5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上交所ETF市场概况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上交所开门办审核介绍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课程7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新《公司法》修订重点难点解析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课程8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《证券法》专题讲解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课程9</w:t>
            </w:r>
          </w:p>
        </w:tc>
        <w:tc>
          <w:tcPr>
            <w:tcW w:w="746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国家战略与行业发展</w:t>
            </w: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绿色金融系列：绿色发展理念与绿色发展基金投资实践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课程10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绿色金融系列：企业碳管理实务与策略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课程11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绿色金融系列：ESG与风险管理综合实践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课程12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专精特新系列：集成电路产业创新与发展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课程13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专精特新系列：新能源产业链（非汽车）投资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课程14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专精特新系列：新能源汽车产业投资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专精特新系列：生物医药（创新医疗器械）投资研究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专精特新系列：大变局下高端制造投资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6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公司治理与企业管理</w:t>
            </w: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B8CCE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持股行权角度谈投资者保护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课程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6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48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新舆论生态下的上市公司N重压力与传播管理</w:t>
            </w:r>
          </w:p>
        </w:tc>
      </w:tr>
    </w:tbl>
    <w:p>
      <w:pPr>
        <w:spacing w:before="156" w:beforeLines="50"/>
        <w:jc w:val="both"/>
        <w:rPr>
          <w:rFonts w:ascii="楷体" w:hAnsi="楷体" w:eastAsia="楷体" w:cs="宋体"/>
          <w:b/>
          <w:bCs/>
          <w:sz w:val="24"/>
        </w:rPr>
      </w:pP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346C8"/>
    <w:rsid w:val="00136164"/>
    <w:rsid w:val="00516211"/>
    <w:rsid w:val="00B15C09"/>
    <w:rsid w:val="00D62C5D"/>
    <w:rsid w:val="042C6C01"/>
    <w:rsid w:val="043059B3"/>
    <w:rsid w:val="1CBB5DA3"/>
    <w:rsid w:val="21C969FA"/>
    <w:rsid w:val="2B4F2D00"/>
    <w:rsid w:val="317C7E86"/>
    <w:rsid w:val="37784788"/>
    <w:rsid w:val="516E09EB"/>
    <w:rsid w:val="5431081B"/>
    <w:rsid w:val="551E37CF"/>
    <w:rsid w:val="5A60377E"/>
    <w:rsid w:val="635F3C0E"/>
    <w:rsid w:val="6666116F"/>
    <w:rsid w:val="6C2346C8"/>
    <w:rsid w:val="6C2830FF"/>
    <w:rsid w:val="7C073B91"/>
    <w:rsid w:val="7FA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563</Characters>
  <Lines>4</Lines>
  <Paragraphs>1</Paragraphs>
  <TotalTime>54</TotalTime>
  <ScaleCrop>false</ScaleCrop>
  <LinksUpToDate>false</LinksUpToDate>
  <CharactersWithSpaces>564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2023-03-09T05:27:00Z</dcterms:created>
  <dc:creator>tytang</dc:creator>
  <cp:lastModifiedBy>ytzhou</cp:lastModifiedBy>
  <cp:lastPrinted>2024-02-26T02:53:43Z</cp:lastPrinted>
  <dcterms:modified xsi:type="dcterms:W3CDTF">2024-02-26T02:58:12Z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4FF50812D5EB47EE9400F292FD8CF8E0</vt:lpwstr>
  </property>
</Properties>
</file>