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62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text" w:horzAnchor="page" w:tblpX="1800" w:tblpY="502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91"/>
        <w:gridCol w:w="5134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  <w:tl2br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日期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时间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2024年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日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09:00-10:00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10:00-10:15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10:15-11:45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11:45-13:30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13:30-14:30                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14:30-14:45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14:45-15:45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ETF投资策略</w:t>
            </w:r>
          </w:p>
        </w:tc>
      </w:tr>
    </w:tbl>
    <w:p/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</w:rPr>
        <w:t>以培训时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lang w:val="en-US" w:eastAsia="zh-CN"/>
        </w:rPr>
        <w:t>实际安排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</w:rPr>
        <w:t>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558D6392"/>
    <w:rsid w:val="57AF761B"/>
    <w:rsid w:val="58865E64"/>
    <w:rsid w:val="5A7B3C01"/>
    <w:rsid w:val="69154F1B"/>
    <w:rsid w:val="6B830557"/>
    <w:rsid w:val="6BA22B62"/>
    <w:rsid w:val="6CC31A14"/>
    <w:rsid w:val="6F83352C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42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2024-08-16T06:43:10Z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D00AE14442774B47BBB7BBDC38446A31_13</vt:lpwstr>
  </property>
</Properties>
</file>