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/>
          <w:sz w:val="32"/>
          <w:szCs w:val="32"/>
        </w:rPr>
        <w:t>:</w:t>
      </w:r>
    </w:p>
    <w:p>
      <w:pPr>
        <w:spacing w:line="360" w:lineRule="auto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培训联络人推荐函</w:t>
      </w:r>
    </w:p>
    <w:p>
      <w:pPr>
        <w:spacing w:line="360" w:lineRule="auto"/>
        <w:jc w:val="center"/>
        <w:rPr>
          <w:rFonts w:ascii="黑体" w:hAnsi="黑体" w:eastAsia="黑体"/>
          <w:sz w:val="32"/>
          <w:szCs w:val="32"/>
        </w:rPr>
      </w:pPr>
    </w:p>
    <w:p>
      <w:pPr>
        <w:spacing w:line="360" w:lineRule="auto"/>
        <w:jc w:val="center"/>
        <w:rPr>
          <w:rFonts w:ascii="宋体" w:hAnsi="宋体"/>
          <w:sz w:val="28"/>
          <w:szCs w:val="28"/>
        </w:rPr>
      </w:pPr>
    </w:p>
    <w:p>
      <w:pPr>
        <w:snapToGrid w:val="0"/>
        <w:spacing w:line="360" w:lineRule="auto"/>
        <w:ind w:firstLine="600" w:firstLineChars="200"/>
        <w:rPr>
          <w:rFonts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兹推荐本公司员工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u w:val="single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u w:val="single"/>
          <w:lang w:val="en-US" w:eastAsia="zh-CN"/>
        </w:rPr>
        <w:t>仅可为1人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u w:val="single"/>
          <w:lang w:eastAsia="zh-CN"/>
        </w:rPr>
        <w:t>）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作为本机构在上交所浦江大讲堂的培训联络人，负责本机构人员的培训报名、参培管理等相关事宜，请准予通过。</w:t>
      </w:r>
    </w:p>
    <w:p>
      <w:pPr>
        <w:snapToGrid w:val="0"/>
        <w:spacing w:line="360" w:lineRule="auto"/>
        <w:ind w:firstLine="600" w:firstLineChars="200"/>
        <w:rPr>
          <w:rFonts w:ascii="仿宋_GB2312" w:hAnsi="仿宋_GB2312" w:eastAsia="仿宋_GB2312" w:cs="仿宋_GB2312"/>
          <w:kern w:val="0"/>
          <w:sz w:val="30"/>
          <w:szCs w:val="30"/>
        </w:rPr>
      </w:pPr>
    </w:p>
    <w:p>
      <w:pPr>
        <w:snapToGrid w:val="0"/>
        <w:spacing w:line="360" w:lineRule="auto"/>
        <w:rPr>
          <w:rFonts w:ascii="仿宋_GB2312" w:hAnsi="仿宋_GB2312" w:eastAsia="仿宋_GB2312" w:cs="仿宋_GB2312"/>
          <w:kern w:val="0"/>
          <w:sz w:val="30"/>
          <w:szCs w:val="30"/>
        </w:rPr>
      </w:pPr>
    </w:p>
    <w:p>
      <w:pPr>
        <w:pStyle w:val="2"/>
        <w:snapToGrid w:val="0"/>
        <w:spacing w:line="360" w:lineRule="auto"/>
        <w:jc w:val="both"/>
        <w:rPr>
          <w:rFonts w:ascii="仿宋_GB2312" w:hAnsi="仿宋_GB2312" w:eastAsia="仿宋_GB2312" w:cs="仿宋_GB2312"/>
          <w:sz w:val="30"/>
          <w:szCs w:val="30"/>
        </w:rPr>
      </w:pPr>
    </w:p>
    <w:p>
      <w:pPr>
        <w:rPr>
          <w:rFonts w:ascii="仿宋_GB2312" w:hAnsi="仿宋_GB2312" w:eastAsia="仿宋_GB2312" w:cs="仿宋_GB2312"/>
          <w:kern w:val="0"/>
          <w:sz w:val="30"/>
          <w:szCs w:val="30"/>
        </w:rPr>
      </w:pPr>
    </w:p>
    <w:p>
      <w:pPr>
        <w:rPr>
          <w:rFonts w:ascii="仿宋_GB2312" w:hAnsi="仿宋_GB2312" w:eastAsia="仿宋_GB2312" w:cs="仿宋_GB2312"/>
          <w:kern w:val="0"/>
          <w:sz w:val="30"/>
          <w:szCs w:val="30"/>
        </w:rPr>
      </w:pPr>
    </w:p>
    <w:p>
      <w:pPr>
        <w:rPr>
          <w:rFonts w:ascii="仿宋_GB2312" w:hAnsi="仿宋_GB2312" w:eastAsia="仿宋_GB2312" w:cs="仿宋_GB2312"/>
          <w:kern w:val="0"/>
          <w:sz w:val="30"/>
          <w:szCs w:val="30"/>
        </w:rPr>
      </w:pPr>
    </w:p>
    <w:p>
      <w:pPr>
        <w:rPr>
          <w:rFonts w:ascii="仿宋_GB2312" w:hAnsi="仿宋_GB2312" w:eastAsia="仿宋_GB2312" w:cs="仿宋_GB2312"/>
          <w:kern w:val="0"/>
          <w:sz w:val="30"/>
          <w:szCs w:val="30"/>
        </w:rPr>
      </w:pPr>
    </w:p>
    <w:p>
      <w:pPr>
        <w:rPr>
          <w:rFonts w:ascii="仿宋_GB2312" w:hAnsi="仿宋_GB2312" w:eastAsia="仿宋_GB2312" w:cs="仿宋_GB2312"/>
          <w:kern w:val="0"/>
          <w:sz w:val="30"/>
          <w:szCs w:val="30"/>
        </w:rPr>
      </w:pPr>
    </w:p>
    <w:p>
      <w:pPr>
        <w:rPr>
          <w:rFonts w:ascii="仿宋_GB2312" w:hAnsi="仿宋_GB2312" w:eastAsia="仿宋_GB2312" w:cs="仿宋_GB2312"/>
          <w:kern w:val="0"/>
          <w:sz w:val="30"/>
          <w:szCs w:val="30"/>
        </w:rPr>
      </w:pPr>
    </w:p>
    <w:p>
      <w:pPr>
        <w:jc w:val="right"/>
        <w:rPr>
          <w:rFonts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 xml:space="preserve">                    公司（或公司部门、分支机构）章</w:t>
      </w:r>
    </w:p>
    <w:p>
      <w:pPr>
        <w:rPr>
          <w:rFonts w:ascii="仿宋_GB2312" w:hAnsi="仿宋_GB2312" w:eastAsia="仿宋_GB2312" w:cs="仿宋_GB2312"/>
          <w:kern w:val="0"/>
          <w:sz w:val="30"/>
          <w:szCs w:val="30"/>
        </w:rPr>
      </w:pPr>
    </w:p>
    <w:p>
      <w:pPr>
        <w:wordWrap w:val="0"/>
        <w:jc w:val="right"/>
        <w:rPr>
          <w:rFonts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 xml:space="preserve">      年      月     日</w:t>
      </w:r>
    </w:p>
    <w:p>
      <w:pPr>
        <w:rPr>
          <w:rFonts w:ascii="仿宋_GB2312" w:hAnsi="仿宋_GB2312" w:eastAsia="仿宋_GB2312" w:cs="仿宋_GB2312"/>
          <w:kern w:val="0"/>
          <w:sz w:val="30"/>
          <w:szCs w:val="30"/>
        </w:rPr>
      </w:pPr>
    </w:p>
    <w:p/>
    <w:p>
      <w:pPr>
        <w:rPr>
          <w:rFonts w:hint="eastAsia" w:ascii="仿宋_GB2312" w:hAnsi="仿宋_GB2312" w:eastAsia="仿宋_GB2312" w:cs="仿宋_GB2312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A97703"/>
    <w:rsid w:val="1824237C"/>
    <w:rsid w:val="6FA97703"/>
    <w:rsid w:val="71AB0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pPr>
      <w:widowControl/>
      <w:jc w:val="left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</Words>
  <Characters>88</Characters>
  <Lines>0</Lines>
  <Paragraphs>0</Paragraphs>
  <TotalTime>2</TotalTime>
  <ScaleCrop>false</ScaleCrop>
  <LinksUpToDate>false</LinksUpToDate>
  <CharactersWithSpaces>137</CharactersWithSpaces>
  <Application>WPS Office_12.8.0.16982_F1E327BC-269C-435d-A152-05C5408002CA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2024-06-03T00:36:00Z</dcterms:created>
  <dc:creator>ytzhou</dc:creator>
  <cp:lastModifiedBy>ytzhou</cp:lastModifiedBy>
  <dcterms:modified xsi:type="dcterms:W3CDTF">2024-07-15T08:09:22Z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2052-12.8.0.16982</vt:lpwstr>
  </property>
  <property fmtid="{D5CDD505-2E9C-101B-9397-08002B2CF9AE}" pid="3" name="ICV">
    <vt:lpwstr>E547A5E508FA4EB7BC0B67AA38827D85</vt:lpwstr>
  </property>
</Properties>
</file>