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期“上交所期权策略顾问培训班（初级班）”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7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42"/>
        <w:gridCol w:w="1255"/>
        <w:gridCol w:w="5758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1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845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  <w:t>培训内容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" w:type="pct"/>
            <w:gridSpan w:val="2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9:00—10:00</w:t>
            </w:r>
          </w:p>
        </w:tc>
        <w:tc>
          <w:tcPr>
            <w:tcW w:w="620" w:type="pct"/>
            <w:tcBorders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期权的基础知识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tcBorders>
              <w:bottom w:val="single" w:color="7BA0CD" w:themeColor="accent1" w:themeTint="BF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10:00—10:15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10:15—11:45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单腿期权策略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11:45—13:30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午休时间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13:30—14:45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保险策略与备兑开仓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14:45-15:00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15:00—16:00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期权基础组合策略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牛市价差组合、熊市价差组合、股票修补策略、合成股票策略、跨式、宽跨式组合盈亏与案例分析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16:00—16:30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行权交收及限仓限购制度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上交所期权行权交收制度、限仓限购制度、当日的知识总结与梳理、考试辅导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</w:t>
            </w: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股票期权新手入门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上交所期权市场发展情况介绍、介绍客户端使用方法、行情浏览、交易操作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D3DFEE" w:themeFill="accent1" w:themeFillTint="3F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-1</w:t>
            </w:r>
            <w:r>
              <w:rPr>
                <w:rFonts w:ascii="Times New Roman" w:hAnsi="Times New Roman" w:cs="宋体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股票期权实战案例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年交易案例分析与讨论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11：00-12：00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vAlign w:val="center"/>
          </w:tcPr>
          <w:p>
            <w:pPr>
              <w:ind w:firstLine="1050" w:firstLineChars="5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闭卷考试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27037B58"/>
    <w:rsid w:val="33011605"/>
    <w:rsid w:val="38061D32"/>
    <w:rsid w:val="3E2452BD"/>
    <w:rsid w:val="401A2356"/>
    <w:rsid w:val="408C7260"/>
    <w:rsid w:val="4BC977F0"/>
    <w:rsid w:val="51CF0D8E"/>
    <w:rsid w:val="52CB50BB"/>
    <w:rsid w:val="53FD448D"/>
    <w:rsid w:val="57EA2A35"/>
    <w:rsid w:val="5B046369"/>
    <w:rsid w:val="5CB037F8"/>
    <w:rsid w:val="6F0010B1"/>
    <w:rsid w:val="6F7E3105"/>
    <w:rsid w:val="72487EE4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20</TotalTime>
  <ScaleCrop>false</ScaleCrop>
  <LinksUpToDate>false</LinksUpToDate>
  <CharactersWithSpaces>695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2023-12-06T02:45:00Z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BFCDF50E85784FC890F3698AE2A2E8C7</vt:lpwstr>
  </property>
</Properties>
</file>