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p>
      <w:pPr>
        <w:adjustRightInd w:val="0"/>
        <w:snapToGrid w:val="0"/>
        <w:spacing w:beforeLines="50"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上海证券交易所202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</w:p>
    <w:p>
      <w:pPr>
        <w:adjustRightInd w:val="0"/>
        <w:snapToGrid w:val="0"/>
        <w:spacing w:beforeLines="50"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年度报告信息披露与编制操作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培训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课程安排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培训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形式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线上培训</w:t>
      </w:r>
      <w:bookmarkStart w:id="0" w:name="_GoBack"/>
      <w:bookmarkEnd w:id="0"/>
    </w:p>
    <w:tbl>
      <w:tblPr>
        <w:tblStyle w:val="3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6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62" w:type="dxa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培训日程</w:t>
            </w:r>
          </w:p>
        </w:tc>
        <w:tc>
          <w:tcPr>
            <w:tcW w:w="6388" w:type="dxa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restart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right="-153" w:rightChars="-73"/>
              <w:jc w:val="left"/>
              <w:textAlignment w:val="auto"/>
              <w:rPr>
                <w:rFonts w:ascii="楷体" w:hAnsi="楷体" w:eastAsia="楷体" w:cs="宋体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2024年1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楷体" w:hAnsi="楷体" w:eastAsia="楷体" w:cs="宋体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至4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</w:rPr>
              <w:t>注：课程24小时开放，请自行安排时间观看。</w:t>
            </w: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课时1：上市公司监管政策与形势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楷体" w:hAnsi="楷体" w:eastAsia="楷体" w:cs="宋体"/>
                <w:color w:val="FF0000"/>
                <w:sz w:val="24"/>
                <w:szCs w:val="28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课时2：上市公司年报会计问题和监管口径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课时3：上市公司年报信息披露及监管要点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课时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上交所年报编制软件演示与讲解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课时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科创板上市公司年报财务信息披露与监管政策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课时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《上市公司可持续发展报告指引解读》</w:t>
            </w:r>
          </w:p>
        </w:tc>
      </w:tr>
    </w:tbl>
    <w:p>
      <w:pPr>
        <w:widowControl/>
        <w:snapToGrid w:val="0"/>
        <w:spacing w:line="440" w:lineRule="exact"/>
      </w:pPr>
      <w:r>
        <w:rPr>
          <w:rFonts w:hint="eastAsia" w:ascii="黑体" w:hAnsi="黑体" w:eastAsia="黑体"/>
          <w:sz w:val="24"/>
          <w:szCs w:val="24"/>
          <w:lang w:eastAsia="zh-CN"/>
        </w:rPr>
        <w:t>课程安排以培训实际安排为准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3514"/>
    <w:rsid w:val="11B73514"/>
    <w:rsid w:val="1A0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2024-12-31T06:31:00Z</dcterms:created>
  <dc:creator>wzhou</dc:creator>
  <cp:lastModifiedBy>wzhou</cp:lastModifiedBy>
  <dcterms:modified xsi:type="dcterms:W3CDTF">2024-12-31T06:33:48Z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B3489CD54F894421B007CFC9EA8B8817_11</vt:lpwstr>
  </property>
</Properties>
</file>