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</w:rPr>
      </w:pPr>
      <w:r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</w:rPr>
        <w:t>附</w:t>
      </w:r>
      <w:r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  <w:lang w:eastAsia="zh-CN"/>
        </w:rPr>
        <w:t>件</w:t>
      </w:r>
      <w:r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</w:rPr>
        <w:t>：</w:t>
      </w:r>
    </w:p>
    <w:p>
      <w:pPr>
        <w:widowControl/>
        <w:jc w:val="center"/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  <w:lang w:eastAsia="zh-CN"/>
        </w:rPr>
      </w:pPr>
      <w:r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</w:rPr>
        <w:t>上市公司并购重组实务系列公开课</w:t>
      </w:r>
      <w:r>
        <w:rPr>
          <w:rFonts w:hint="eastAsia" w:ascii="黑体" w:hAnsi="黑体" w:eastAsia="黑体" w:cs="黑体"/>
          <w:color w:val="05073B"/>
          <w:sz w:val="30"/>
          <w:szCs w:val="30"/>
          <w:shd w:val="clear" w:color="auto" w:fill="FDFDFE"/>
          <w:lang w:eastAsia="zh-CN"/>
        </w:rPr>
        <w:t>课程表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85"/>
        <w:gridCol w:w="4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</w:rPr>
              <w:t>序号</w:t>
            </w:r>
          </w:p>
        </w:tc>
        <w:tc>
          <w:tcPr>
            <w:tcW w:w="163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</w:rPr>
              <w:t>主题</w:t>
            </w: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/>
                <w:kern w:val="0"/>
                <w:sz w:val="24"/>
                <w:szCs w:val="24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模块1：前期筹备</w:t>
            </w: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上市公司并购重组的发起与准备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产业并购策略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实施要点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模块2：方案实施</w:t>
            </w:r>
          </w:p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法律尽职调查要点实务解析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并购重组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并购重组中的会计处理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并购重组中税务问题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探讨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并购重组中的评估问题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探讨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并购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交易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重点法律问题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模块3：并购整合</w:t>
            </w: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整合安排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交割后纠纷案例剖析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上市公司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整合战略及经验分享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2B45"/>
    <w:rsid w:val="47772B45"/>
    <w:rsid w:val="57E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2024-08-22T03:26:00Z</dcterms:created>
  <dc:creator>新闻</dc:creator>
  <cp:lastModifiedBy>新闻</cp:lastModifiedBy>
  <dcterms:modified xsi:type="dcterms:W3CDTF">2024-08-22T03:29:05Z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1D416D9AB7454AF38F41F2CAB2F359C6_11</vt:lpwstr>
  </property>
</Properties>
</file>