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附件1：</w:t>
      </w:r>
      <w:bookmarkStart w:id="0" w:name="_GoBack"/>
      <w:bookmarkEnd w:id="0"/>
    </w:p>
    <w:p>
      <w:pPr>
        <w:widowControl/>
        <w:snapToGrid w:val="0"/>
        <w:spacing w:line="480" w:lineRule="auto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年第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期主板上市公司董事会秘书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任职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培训课程表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请自行安排时间，于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202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年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月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日（周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）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  <w:lang w:val="en-US" w:eastAsia="zh-CN"/>
        </w:rPr>
        <w:t>至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2024年4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月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日（周</w:t>
      </w:r>
      <w:r>
        <w:rPr>
          <w:rFonts w:hint="eastAsia" w:eastAsia="仿宋_GB2312" w:cs="Times New Roman"/>
          <w:b/>
          <w:color w:val="auto"/>
          <w:sz w:val="24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color w:val="auto"/>
          <w:sz w:val="24"/>
          <w:szCs w:val="28"/>
        </w:rPr>
        <w:t>）期间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完成全部课程的学习，课程24小时开放。</w:t>
      </w:r>
    </w:p>
    <w:p>
      <w:pPr>
        <w:adjustRightInd w:val="0"/>
        <w:snapToGrid w:val="0"/>
        <w:ind w:firstLine="482" w:firstLineChars="20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2"/>
        <w:tblW w:w="9265" w:type="dxa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6"/>
        <w:gridCol w:w="2559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8DB3E2" w:themeColor="text2" w:themeTint="66" w:sz="8" w:space="0"/>
              <w:right w:val="nil"/>
              <w:insideH w:val="single" w:sz="8" w:space="0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/>
                <w:bCs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  <w:lang w:val="en-US" w:eastAsia="zh-CN"/>
              </w:rPr>
              <w:t>必修</w:t>
            </w: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559" w:type="dxa"/>
            <w:tcBorders>
              <w:top w:val="single" w:color="7BA0CD" w:themeColor="accent1" w:themeTint="BF" w:sz="8" w:space="0"/>
              <w:bottom w:val="single" w:color="8DB3E2" w:themeColor="text2" w:themeTint="66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8DB3E2" w:themeColor="text2" w:themeTint="66" w:sz="8" w:space="0"/>
              <w:left w:val="single" w:color="8DB3E2" w:themeColor="text2" w:themeTint="66" w:sz="8" w:space="0"/>
              <w:bottom w:val="single" w:color="8DB3E2" w:themeColor="text2" w:themeTint="66" w:sz="8" w:space="0"/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：《股票上市规则》及上市公司自律监管指引解析（一）</w:t>
            </w:r>
          </w:p>
        </w:tc>
        <w:tc>
          <w:tcPr>
            <w:tcW w:w="2559" w:type="dxa"/>
            <w:tcBorders>
              <w:top w:val="single" w:color="8DB3E2" w:themeColor="text2" w:themeTint="66" w:sz="8" w:space="0"/>
              <w:bottom w:val="single" w:color="8DB3E2" w:themeColor="text2" w:themeTint="66" w:sz="8" w:space="0"/>
              <w:right w:val="single" w:color="8DB3E2" w:themeColor="text2" w:themeTint="66" w:sz="8" w:space="0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top w:val="single" w:color="8DB3E2" w:themeColor="text2" w:themeTint="66" w:sz="8" w:space="0"/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：《股票上市规则》及上市公司自律监管指引解析（二）</w:t>
            </w:r>
          </w:p>
        </w:tc>
        <w:tc>
          <w:tcPr>
            <w:tcW w:w="2559" w:type="dxa"/>
            <w:tcBorders>
              <w:top w:val="single" w:color="8DB3E2" w:themeColor="text2" w:themeTint="66" w:sz="8" w:space="0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：《股票上市规则》及上市公司自律监管指引解析（三）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：并购重组、再融资与分拆上市政策解析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定向可转债重组规则解读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课时6：上市公司股东、董监高减持股份规则及最新要求解读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增持与回购股份规则解读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：纪律处分典型案例分析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上市公司管理二部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：上市公司投资者关系管理及业绩说明会实务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：新《公司法》修订要点及对上市公司的影响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律师事务所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董事会秘书的角色与责任</w:t>
            </w:r>
          </w:p>
        </w:tc>
        <w:tc>
          <w:tcPr>
            <w:tcW w:w="2559" w:type="dxa"/>
            <w:tcBorders>
              <w:insideV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：上市公司董事会秘书经验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分享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：业务操作实务及风险案例介绍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：上市公司业务系统公告上传流程介绍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/>
                <w:b/>
                <w:bCs/>
                <w:color w:val="FFFFFF" w:themeColor="background1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  <w:lang w:val="en-US" w:eastAsia="zh-CN"/>
              </w:rPr>
              <w:t>选修</w:t>
            </w: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课程名称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cs="宋体"/>
                <w:b w:val="0"/>
                <w:bCs w:val="0"/>
                <w:color w:val="FFFFFF" w:themeColor="background1"/>
                <w:sz w:val="24"/>
                <w:szCs w:val="22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hint="eastAsia" w:cs="宋体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开门办审核相关情况介绍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hint="eastAsia" w:eastAsia="宋体" w:cs="宋体"/>
                <w:b/>
                <w:bCs/>
                <w:color w:val="FFFFFF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上交所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课时1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：《证券法》专题讲解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楷体" w:hAnsi="楷体" w:eastAsia="楷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律师事务所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6" w:type="dxa"/>
            <w:tcBorders>
              <w:right w:val="nil"/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课时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</w:rPr>
              <w:t>：股权激励与员工持股</w:t>
            </w:r>
          </w:p>
        </w:tc>
        <w:tc>
          <w:tcPr>
            <w:tcW w:w="2559" w:type="dxa"/>
            <w:tcBorders>
              <w:insideV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部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ZkODgyMjgxMzlkZjVhYmVhZmY5YjQ1OGQ4Y2ZhMDIifQ=="/>
  </w:docVars>
  <w:rsids>
    <w:rsidRoot w:val="007B4CCC"/>
    <w:rsid w:val="00002840"/>
    <w:rsid w:val="0000515E"/>
    <w:rsid w:val="000111E5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16A"/>
    <w:rsid w:val="001A194D"/>
    <w:rsid w:val="001C147B"/>
    <w:rsid w:val="001C2C87"/>
    <w:rsid w:val="001C323F"/>
    <w:rsid w:val="001D03DD"/>
    <w:rsid w:val="001F2849"/>
    <w:rsid w:val="00211877"/>
    <w:rsid w:val="00215B0E"/>
    <w:rsid w:val="00234BF2"/>
    <w:rsid w:val="00241041"/>
    <w:rsid w:val="0026013F"/>
    <w:rsid w:val="002817F3"/>
    <w:rsid w:val="002C1D99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77E97"/>
    <w:rsid w:val="003878D1"/>
    <w:rsid w:val="0039120D"/>
    <w:rsid w:val="00414631"/>
    <w:rsid w:val="00423E19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2A2"/>
    <w:rsid w:val="005215D3"/>
    <w:rsid w:val="00527FAB"/>
    <w:rsid w:val="0053045D"/>
    <w:rsid w:val="00531AA0"/>
    <w:rsid w:val="00531CC3"/>
    <w:rsid w:val="00534BEB"/>
    <w:rsid w:val="00557857"/>
    <w:rsid w:val="005713F4"/>
    <w:rsid w:val="00574FD0"/>
    <w:rsid w:val="005807CC"/>
    <w:rsid w:val="00585296"/>
    <w:rsid w:val="00591407"/>
    <w:rsid w:val="00593E73"/>
    <w:rsid w:val="005968F6"/>
    <w:rsid w:val="005B2373"/>
    <w:rsid w:val="005B6767"/>
    <w:rsid w:val="005C07CA"/>
    <w:rsid w:val="005C2195"/>
    <w:rsid w:val="005C393C"/>
    <w:rsid w:val="005D1D4A"/>
    <w:rsid w:val="005D2934"/>
    <w:rsid w:val="005D3C54"/>
    <w:rsid w:val="005E33A7"/>
    <w:rsid w:val="005E7D9A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3D06"/>
    <w:rsid w:val="006A473A"/>
    <w:rsid w:val="006C0AF3"/>
    <w:rsid w:val="006D3735"/>
    <w:rsid w:val="006E7F24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D6727"/>
    <w:rsid w:val="007E7923"/>
    <w:rsid w:val="00826E82"/>
    <w:rsid w:val="008372C5"/>
    <w:rsid w:val="00841543"/>
    <w:rsid w:val="00843901"/>
    <w:rsid w:val="00845A7C"/>
    <w:rsid w:val="00847014"/>
    <w:rsid w:val="00854924"/>
    <w:rsid w:val="00855EF3"/>
    <w:rsid w:val="0086329E"/>
    <w:rsid w:val="00892010"/>
    <w:rsid w:val="008B5940"/>
    <w:rsid w:val="008D0A4D"/>
    <w:rsid w:val="008D2BD7"/>
    <w:rsid w:val="008D5BC6"/>
    <w:rsid w:val="008E1C48"/>
    <w:rsid w:val="008E5749"/>
    <w:rsid w:val="009143B9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07D91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2A5"/>
    <w:rsid w:val="00BA7D2F"/>
    <w:rsid w:val="00BC2C68"/>
    <w:rsid w:val="00BD2F41"/>
    <w:rsid w:val="00BE466F"/>
    <w:rsid w:val="00BE4953"/>
    <w:rsid w:val="00BE7D5B"/>
    <w:rsid w:val="00BF2523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07617"/>
    <w:rsid w:val="00D2038A"/>
    <w:rsid w:val="00D223B9"/>
    <w:rsid w:val="00D26EB8"/>
    <w:rsid w:val="00D30E1D"/>
    <w:rsid w:val="00D337CE"/>
    <w:rsid w:val="00D37120"/>
    <w:rsid w:val="00D37EF4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296E"/>
    <w:rsid w:val="00DD35CA"/>
    <w:rsid w:val="00DD5A8E"/>
    <w:rsid w:val="00DE0A3C"/>
    <w:rsid w:val="00DE2752"/>
    <w:rsid w:val="00DE46E6"/>
    <w:rsid w:val="00DE4DAF"/>
    <w:rsid w:val="00E11292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F236D8"/>
    <w:rsid w:val="00F7557E"/>
    <w:rsid w:val="00F8582D"/>
    <w:rsid w:val="00FA3AAD"/>
    <w:rsid w:val="00FA7C19"/>
    <w:rsid w:val="00FB3CFE"/>
    <w:rsid w:val="00FB5D66"/>
    <w:rsid w:val="00FB6E80"/>
    <w:rsid w:val="00FC17FF"/>
    <w:rsid w:val="00FD6761"/>
    <w:rsid w:val="00FD7A8B"/>
    <w:rsid w:val="00FE5EBC"/>
    <w:rsid w:val="00FF0580"/>
    <w:rsid w:val="00FF37B4"/>
    <w:rsid w:val="00FF7FCE"/>
    <w:rsid w:val="066C7E03"/>
    <w:rsid w:val="09C867FD"/>
    <w:rsid w:val="13B83FEE"/>
    <w:rsid w:val="15030D75"/>
    <w:rsid w:val="17126773"/>
    <w:rsid w:val="173736DF"/>
    <w:rsid w:val="22617115"/>
    <w:rsid w:val="25BF6652"/>
    <w:rsid w:val="291E5F56"/>
    <w:rsid w:val="2A28561B"/>
    <w:rsid w:val="2B96224D"/>
    <w:rsid w:val="30AB1C53"/>
    <w:rsid w:val="33011605"/>
    <w:rsid w:val="37270E65"/>
    <w:rsid w:val="3AE55B2F"/>
    <w:rsid w:val="3D2D51E6"/>
    <w:rsid w:val="3E2452BD"/>
    <w:rsid w:val="401435A8"/>
    <w:rsid w:val="408C7260"/>
    <w:rsid w:val="42104CE7"/>
    <w:rsid w:val="4AE10568"/>
    <w:rsid w:val="4CA50D26"/>
    <w:rsid w:val="4F1100B3"/>
    <w:rsid w:val="4FA02091"/>
    <w:rsid w:val="50EF1A3E"/>
    <w:rsid w:val="51CF0D8E"/>
    <w:rsid w:val="53FD448D"/>
    <w:rsid w:val="55833339"/>
    <w:rsid w:val="56294733"/>
    <w:rsid w:val="56B75175"/>
    <w:rsid w:val="5A8D34AF"/>
    <w:rsid w:val="5CB037F8"/>
    <w:rsid w:val="5CD42D5F"/>
    <w:rsid w:val="5DEE162B"/>
    <w:rsid w:val="5E2B0A90"/>
    <w:rsid w:val="5EDA2438"/>
    <w:rsid w:val="62DE3433"/>
    <w:rsid w:val="665B220B"/>
    <w:rsid w:val="6F7E3105"/>
    <w:rsid w:val="738F04F4"/>
    <w:rsid w:val="77445179"/>
    <w:rsid w:val="7F386F42"/>
    <w:rsid w:val="7F453376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743F-1F00-4B26-9938-459D2DD41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2023-12-09T13:20:00Z</dcterms:created>
  <dc:creator>Administrator</dc:creator>
  <cp:lastModifiedBy>倪琦竣</cp:lastModifiedBy>
  <dcterms:modified xsi:type="dcterms:W3CDTF">2024-04-09T07:03:07Z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B58307BA383446C0B15439288E71C504_12</vt:lpwstr>
  </property>
</Properties>
</file>